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Staff Training and Awareness Procedure</w:t>
      </w:r>
    </w:p>
    <w:p>
      <w:r>
        <w:t xml:space="preserve">**CybersecAI.IO Pty Ltd**  </w:t>
      </w:r>
    </w:p>
    <w:p>
      <w:r>
        <w:t xml:space="preserve">**Effective Date:** [Insert Date]  </w:t>
      </w:r>
    </w:p>
    <w:p>
      <w:r>
        <w:t>**Version:** 1.0</w:t>
      </w:r>
    </w:p>
    <w:p>
      <w:r>
        <w:br/>
      </w:r>
    </w:p>
    <w:p>
      <w:pPr>
        <w:pStyle w:val="Heading1"/>
      </w:pPr>
      <w:r>
        <w:t>1. Purpose</w:t>
      </w:r>
    </w:p>
    <w:p>
      <w:r>
        <w:t>This Procedure establishes mandatory requirements for regular staff training and awareness on data breach response and data protection obligations, in accordance with the Privacy Act 1988 (Cth), Australian Privacy Principles (APPs), and guidance from the Office of the Australian Information Commissioner (OAIC). It supports compliance with APP 11 (Security of Personal Information).</w:t>
      </w:r>
    </w:p>
    <w:p>
      <w:r>
        <w:t xml:space="preserve">**Expert Note:**  </w:t>
      </w:r>
    </w:p>
    <w:p>
      <w:r>
        <w:t>Based on recent data classification and risk analysis performed via the CybersecAI.IO platform, CybersecAI.IO Pty Ltd routinely handles highly sensitive and regulated data, including but not limited to: full names, dates of birth, addresses, email addresses, phone numbers, financial account details, tax file numbers, Medicare numbers, and credit card information. These data types are regulated under the Australian Privacy Act, UK GDPR, PCI DSS, and CCPA/CPRA, with an overall risk rating of "High" for non-compliance or data breach. (Source: cybersecai.io platform)</w:t>
      </w:r>
    </w:p>
    <w:p>
      <w:r>
        <w:br/>
      </w:r>
    </w:p>
    <w:p>
      <w:pPr>
        <w:pStyle w:val="Heading1"/>
      </w:pPr>
      <w:r>
        <w:t>2. Scope</w:t>
      </w:r>
    </w:p>
    <w:p>
      <w:r>
        <w:t>This Procedure applies to all employees, contractors, and temporary staff of CybersecAI.IO Pty Ltd (“the Company”) who have access to personal information or Company systems.</w:t>
      </w:r>
    </w:p>
    <w:p>
      <w:r>
        <w:t xml:space="preserve">**Expert Note:**  </w:t>
      </w:r>
    </w:p>
    <w:p>
      <w:r>
        <w:t>Given the high-risk data landscape identified by CybersecAI.IO, this procedure is particularly critical for staff handling any of the following fields: Address, Date of Birth, Email Address, Full Name, Phone Number, Financial Account, Credit Card Number, Tax File Number, Medicare Number, and Social Security Number (SSN).</w:t>
      </w:r>
    </w:p>
    <w:p>
      <w:r>
        <w:br/>
      </w:r>
    </w:p>
    <w:p>
      <w:pPr>
        <w:pStyle w:val="Heading1"/>
      </w:pPr>
      <w:r>
        <w:t>3. Responsibilities</w:t>
      </w:r>
    </w:p>
    <w:p>
      <w:pPr>
        <w:pStyle w:val="ListBullet"/>
      </w:pPr>
      <w:r>
        <w:rPr>
          <w:b/>
        </w:rPr>
        <w:t>Chief Privacy Officer (CPO):</w:t>
      </w:r>
    </w:p>
    <w:p>
      <w:pPr>
        <w:pStyle w:val="ListBullet2"/>
      </w:pPr>
      <w:r>
        <w:t>Oversees development, implementation, and review of training content and schedules.</w:t>
      </w:r>
    </w:p>
    <w:p>
      <w:pPr>
        <w:pStyle w:val="ListBullet2"/>
      </w:pPr>
      <w:r>
        <w:t>Ensures training aligns with legal and regulatory requirements, including Australian Privacy Act, UK GDPR, PCI DSS, and CCPA/CPRA obligations as identified by cybersecai.io.</w:t>
      </w:r>
    </w:p>
    <w:p>
      <w:pPr>
        <w:pStyle w:val="ListBullet"/>
      </w:pPr>
      <w:r>
        <w:rPr>
          <w:b/>
        </w:rPr>
        <w:t>People &amp; Culture (HR) Department:</w:t>
      </w:r>
    </w:p>
    <w:p>
      <w:pPr>
        <w:pStyle w:val="ListBullet2"/>
      </w:pPr>
      <w:r>
        <w:t>Coordinates training logistics and maintains training records.</w:t>
      </w:r>
    </w:p>
    <w:p>
      <w:pPr>
        <w:pStyle w:val="ListBullet2"/>
      </w:pPr>
      <w:r>
        <w:t>Notifies staff of training requirements and schedules.</w:t>
      </w:r>
    </w:p>
    <w:p>
      <w:pPr>
        <w:pStyle w:val="ListBullet"/>
      </w:pPr>
      <w:r>
        <w:rPr>
          <w:b/>
        </w:rPr>
        <w:t>Managers:</w:t>
      </w:r>
    </w:p>
    <w:p>
      <w:pPr>
        <w:pStyle w:val="ListBullet2"/>
      </w:pPr>
      <w:r>
        <w:t>Ensure team members complete required training within specified timeframes.</w:t>
      </w:r>
    </w:p>
    <w:p>
      <w:pPr>
        <w:pStyle w:val="ListBullet2"/>
      </w:pPr>
      <w:r>
        <w:t>Support staff in understanding data protection obligations.</w:t>
      </w:r>
    </w:p>
    <w:p>
      <w:pPr>
        <w:pStyle w:val="ListBullet"/>
      </w:pPr>
      <w:r>
        <w:rPr>
          <w:b/>
        </w:rPr>
        <w:t>All Staff:</w:t>
      </w:r>
    </w:p>
    <w:p>
      <w:pPr>
        <w:pStyle w:val="ListBullet2"/>
      </w:pPr>
      <w:r>
        <w:t>Complete all mandatory training and refresher modules.</w:t>
      </w:r>
    </w:p>
    <w:p>
      <w:pPr>
        <w:pStyle w:val="ListBullet2"/>
      </w:pPr>
      <w:r>
        <w:t>Apply knowledge in daily operations and report any data breaches or risks promptly.</w:t>
      </w:r>
    </w:p>
    <w:p>
      <w:r>
        <w:br/>
      </w:r>
    </w:p>
    <w:p>
      <w:pPr>
        <w:pStyle w:val="Heading1"/>
      </w:pPr>
      <w:r>
        <w:t>4. Training Requirements</w:t>
      </w:r>
    </w:p>
    <w:p>
      <w:pPr>
        <w:pStyle w:val="Heading2"/>
      </w:pPr>
      <w:r>
        <w:t>4.1 Induction Training</w:t>
      </w:r>
    </w:p>
    <w:p>
      <w:pPr>
        <w:pStyle w:val="ListBullet"/>
      </w:pPr>
      <w:r>
        <w:t>All new staff must complete data protection and data breach response training within 10 business days of commencement.</w:t>
      </w:r>
    </w:p>
    <w:p>
      <w:pPr>
        <w:pStyle w:val="ListBullet"/>
      </w:pPr>
      <w:r>
        <w:t>Content includes:</w:t>
      </w:r>
    </w:p>
    <w:p>
      <w:pPr>
        <w:pStyle w:val="ListBullet"/>
      </w:pPr>
      <w:r>
        <w:t>Overview of the Privacy Act 1988 (Cth), APPs, and relevant global standards (UK GDPR, PCI DSS, CCPA/CPRA) as applicable to the Company’s data profile (cybersecai.io).</w:t>
      </w:r>
    </w:p>
    <w:p>
      <w:pPr>
        <w:pStyle w:val="ListBullet"/>
      </w:pPr>
      <w:r>
        <w:t>Company’s Data Breach Response Plan.</w:t>
      </w:r>
    </w:p>
    <w:p>
      <w:pPr>
        <w:pStyle w:val="ListBullet"/>
      </w:pPr>
      <w:r>
        <w:t>Staff obligations regarding personal information security, with emphasis on the handling of high-risk data fields such as tax file numbers, Medicare numbers, credit card numbers, and login credentials.</w:t>
      </w:r>
    </w:p>
    <w:p>
      <w:pPr>
        <w:pStyle w:val="Heading2"/>
      </w:pPr>
      <w:r>
        <w:t>4.2 Annual Refresher Training</w:t>
      </w:r>
    </w:p>
    <w:p>
      <w:pPr>
        <w:pStyle w:val="ListBullet"/>
      </w:pPr>
      <w:r>
        <w:t>All staff must complete annual refresher training on:</w:t>
      </w:r>
    </w:p>
    <w:p>
      <w:pPr>
        <w:pStyle w:val="ListBullet"/>
      </w:pPr>
      <w:r>
        <w:t>Data breach identification and reporting, with real-world scenarios involving regulated data types identified by cybersecai.io.</w:t>
      </w:r>
    </w:p>
    <w:p>
      <w:pPr>
        <w:pStyle w:val="ListBullet"/>
      </w:pPr>
      <w:r>
        <w:t>Updates to privacy laws and Company policies.</w:t>
      </w:r>
    </w:p>
    <w:p>
      <w:pPr>
        <w:pStyle w:val="ListBullet"/>
      </w:pPr>
      <w:r>
        <w:t>Lessons learned from recent incidents (if applicable).</w:t>
      </w:r>
    </w:p>
    <w:p>
      <w:pPr>
        <w:pStyle w:val="Heading2"/>
      </w:pPr>
      <w:r>
        <w:t>4.3 Ad Hoc and Targeted Training</w:t>
      </w:r>
    </w:p>
    <w:p>
      <w:pPr>
        <w:pStyle w:val="ListBullet"/>
      </w:pPr>
      <w:r>
        <w:t>Additional training will be provided:</w:t>
      </w:r>
    </w:p>
    <w:p>
      <w:pPr>
        <w:pStyle w:val="ListBullet"/>
      </w:pPr>
      <w:r>
        <w:t>Following significant changes to privacy laws, Company policies, or procedures.</w:t>
      </w:r>
    </w:p>
    <w:p>
      <w:pPr>
        <w:pStyle w:val="ListBullet"/>
      </w:pPr>
      <w:r>
        <w:t>After a data breach or near-miss incident, as determined by the CPO, particularly where high-risk data fields (e.g., credit card numbers, TFN, Medicare numbers, SSN) are involved.</w:t>
      </w:r>
    </w:p>
    <w:p>
      <w:r>
        <w:br/>
      </w:r>
    </w:p>
    <w:p>
      <w:pPr>
        <w:pStyle w:val="Heading1"/>
      </w:pPr>
      <w:r>
        <w:t>5. Training Delivery</w:t>
      </w:r>
    </w:p>
    <w:p>
      <w:pPr>
        <w:pStyle w:val="ListBullet"/>
      </w:pPr>
      <w:r>
        <w:t>Training will be delivered via:</w:t>
      </w:r>
    </w:p>
    <w:p>
      <w:pPr>
        <w:pStyle w:val="ListBullet"/>
      </w:pPr>
      <w:r>
        <w:t>Online learning modules.</w:t>
      </w:r>
    </w:p>
    <w:p>
      <w:pPr>
        <w:pStyle w:val="ListBullet"/>
      </w:pPr>
      <w:r>
        <w:t>In-person or virtual workshops (as required).</w:t>
      </w:r>
    </w:p>
    <w:p>
      <w:pPr>
        <w:pStyle w:val="ListBullet"/>
      </w:pPr>
      <w:r>
        <w:t>Scenario-based exercises and quizzes to assess understanding, with scenarios reflecting the high-risk data types and regulatory obligations identified by cybersecai.io.</w:t>
      </w:r>
    </w:p>
    <w:p>
      <w:r>
        <w:br/>
      </w:r>
    </w:p>
    <w:p>
      <w:pPr>
        <w:pStyle w:val="Heading1"/>
      </w:pPr>
      <w:r>
        <w:t>6. Record Keeping</w:t>
      </w:r>
    </w:p>
    <w:p>
      <w:pPr>
        <w:pStyle w:val="ListBullet"/>
      </w:pPr>
      <w:r>
        <w:t>The HR Department will maintain records of training completion for all staff for a minimum of five (5) years.</w:t>
      </w:r>
    </w:p>
    <w:p>
      <w:pPr>
        <w:pStyle w:val="ListBullet"/>
      </w:pPr>
      <w:r>
        <w:t>Records will be made available to the CPO and regulatory authorities upon request.</w:t>
      </w:r>
    </w:p>
    <w:p>
      <w:r>
        <w:br/>
      </w:r>
    </w:p>
    <w:p>
      <w:pPr>
        <w:pStyle w:val="Heading1"/>
      </w:pPr>
      <w:r>
        <w:t>7. Compliance and Monitoring</w:t>
      </w:r>
    </w:p>
    <w:p>
      <w:pPr>
        <w:pStyle w:val="ListBullet"/>
      </w:pPr>
      <w:r>
        <w:t>Completion of training is a condition of employment.</w:t>
      </w:r>
    </w:p>
    <w:p>
      <w:pPr>
        <w:pStyle w:val="ListBullet"/>
      </w:pPr>
      <w:r>
        <w:t>Non-compliance may result in disciplinary action.</w:t>
      </w:r>
    </w:p>
    <w:p>
      <w:pPr>
        <w:pStyle w:val="ListBullet"/>
      </w:pPr>
      <w:r>
        <w:t>The CPO will review training effectiveness annually and update content as required, using insights from cybersecai.io’s ongoing risk assessments and auditor agent views.</w:t>
      </w:r>
    </w:p>
    <w:p>
      <w:r>
        <w:br/>
      </w:r>
    </w:p>
    <w:p>
      <w:pPr>
        <w:pStyle w:val="Heading1"/>
      </w:pPr>
      <w:r>
        <w:t>8. Regulatory References</w:t>
      </w:r>
    </w:p>
    <w:p>
      <w:pPr>
        <w:pStyle w:val="ListBullet"/>
      </w:pPr>
      <w:r>
        <w:rPr>
          <w:b/>
        </w:rPr>
        <w:t>Privacy Act 1988 (Cth)</w:t>
      </w:r>
    </w:p>
    <w:p>
      <w:pPr>
        <w:pStyle w:val="ListBullet"/>
      </w:pPr>
      <w:r>
        <w:rPr>
          <w:b/>
        </w:rPr>
        <w:t>Australian Privacy Principles (APPs), especially APP 11</w:t>
      </w:r>
    </w:p>
    <w:p>
      <w:pPr>
        <w:pStyle w:val="ListBullet"/>
      </w:pPr>
      <w:r>
        <w:rPr>
          <w:b/>
        </w:rPr>
        <w:t>OAIC Guidance:</w:t>
      </w:r>
    </w:p>
    <w:p>
      <w:pPr>
        <w:pStyle w:val="ListBullet2"/>
      </w:pPr>
      <w:r>
        <w:t>“Guide to securing personal information”</w:t>
      </w:r>
    </w:p>
    <w:p>
      <w:pPr>
        <w:pStyle w:val="ListBullet2"/>
      </w:pPr>
      <w:r>
        <w:t>“Data breach preparation and response”</w:t>
      </w:r>
    </w:p>
    <w:p>
      <w:pPr>
        <w:pStyle w:val="ListBullet"/>
      </w:pPr>
      <w:r>
        <w:rPr>
          <w:b/>
        </w:rPr>
        <w:t>UK GDPR</w:t>
      </w:r>
    </w:p>
    <w:p>
      <w:pPr>
        <w:pStyle w:val="ListBullet"/>
      </w:pPr>
      <w:r>
        <w:rPr>
          <w:b/>
        </w:rPr>
        <w:t>PCI DSS</w:t>
      </w:r>
    </w:p>
    <w:p>
      <w:pPr>
        <w:pStyle w:val="ListBullet"/>
      </w:pPr>
      <w:r>
        <w:rPr>
          <w:b/>
        </w:rPr>
        <w:t>CCPA/CPRA</w:t>
      </w:r>
    </w:p>
    <w:p>
      <w:r>
        <w:t xml:space="preserve">  *Note: These references are included due to the presence of regulated data fields and global compliance risks identified by cybersecai.io.*</w:t>
      </w:r>
    </w:p>
    <w:p>
      <w:r>
        <w:br/>
      </w:r>
    </w:p>
    <w:p>
      <w:pPr>
        <w:pStyle w:val="Heading1"/>
      </w:pPr>
      <w:r>
        <w:t>9. Review</w:t>
      </w:r>
    </w:p>
    <w:p>
      <w:r>
        <w:t>This Procedure will be reviewed at least annually or following significant regulatory or operational changes, or upon identification of new high-risk data types or workflows by cybersecai.io’s automated monitoring.</w:t>
      </w:r>
    </w:p>
    <w:p>
      <w:r>
        <w:br/>
      </w:r>
    </w:p>
    <w:p>
      <w:r>
        <w:t xml:space="preserve">**Approved by:** [Name, Title]  </w:t>
      </w:r>
    </w:p>
    <w:p>
      <w:r>
        <w:t>**Date:** [Insert Approval Date]</w:t>
      </w:r>
    </w:p>
    <w:p>
      <w:r>
        <w:br/>
      </w:r>
    </w:p>
    <w:p>
      <w:r>
        <w:t>*This document incorporates expert analysis and data risk findings from the cybersecai.io platform, which identified the presence of multiple regulated and high-risk data types within Company systems. All staff must remain vigilant and compliant with the procedures outlined herein to mitigate legal, financial, and reputational risks associated with data breaches.*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