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w:t>
      </w:r>
    </w:p>
    <w:p>
      <w:pPr>
        <w:pStyle w:val="Heading1"/>
      </w:pPr>
      <w:r>
        <w:t>Third-Party Breach Notification Procedure</w:t>
      </w:r>
    </w:p>
    <w:p>
      <w:r>
        <w:t xml:space="preserve">**Purpose:**  </w:t>
      </w:r>
    </w:p>
    <w:p>
      <w:r>
        <w:t>To establish mandatory procedures for the notification and management of personal data breaches involving third-party data processors or external partners, in compliance with UK GDPR Article 28(3)(f).</w:t>
      </w:r>
    </w:p>
    <w:p>
      <w:r>
        <w:br/>
      </w:r>
    </w:p>
    <w:p>
      <w:pPr>
        <w:pStyle w:val="Heading1"/>
      </w:pPr>
      <w:r>
        <w:t>1. Scope</w:t>
      </w:r>
    </w:p>
    <w:p>
      <w:r>
        <w:t>This Procedure applies to all personal data processing activities conducted on behalf of Oxford University by third-party data processors or external partners (“Third Parties”), as defined under the UK General Data Protection Regulation (UK GDPR) and the Data Protection Act 2018.</w:t>
      </w:r>
    </w:p>
    <w:p>
      <w:r>
        <w:br/>
      </w:r>
    </w:p>
    <w:p>
      <w:pPr>
        <w:pStyle w:val="Heading1"/>
      </w:pPr>
      <w:r>
        <w:t>2. Legal and Regulatory Framework</w:t>
      </w:r>
    </w:p>
    <w:p>
      <w:pPr>
        <w:pStyle w:val="ListBullet"/>
      </w:pPr>
      <w:r>
        <w:t>**UK GDPR Article 28(3)(f):** Requires data processing contracts to oblige processors to assist the controller in ensuring compliance with data breach notification obligations under Articles 33 and 34.</w:t>
      </w:r>
    </w:p>
    <w:p>
      <w:pPr>
        <w:pStyle w:val="ListBullet"/>
      </w:pPr>
      <w:r>
        <w:t>**UK GDPR Articles 33 &amp; 34:** Set out requirements for notification of personal data breaches to the Information Commissioner’s Office (ICO) and, where applicable, to data subjects.</w:t>
      </w:r>
    </w:p>
    <w:p>
      <w:pPr>
        <w:pStyle w:val="ListBullet"/>
      </w:pPr>
      <w:r>
        <w:t>**Australian Privacy Act:** Where relevant, covers notification obligations for personal data breaches involving Australian data subjects or data processed in Australia.</w:t>
      </w:r>
    </w:p>
    <w:p>
      <w:pPr>
        <w:pStyle w:val="ListBullet"/>
      </w:pPr>
      <w:r>
        <w:t>**PCI DSS:** Applies to breaches involving payment card data.</w:t>
      </w:r>
    </w:p>
    <w:p>
      <w:pPr>
        <w:pStyle w:val="ListBullet"/>
      </w:pPr>
      <w:r>
        <w:t>**CCPA/CPRA:** Applies to breaches involving California residents’ personal data, such as Social Security Numbers (SSNs).</w:t>
      </w:r>
    </w:p>
    <w:p>
      <w:r>
        <w:br/>
      </w:r>
    </w:p>
    <w:p>
      <w:pPr>
        <w:pStyle w:val="Heading1"/>
      </w:pPr>
      <w:r>
        <w:t>3. Responsibilities</w:t>
      </w:r>
    </w:p>
    <w:p>
      <w:pPr>
        <w:pStyle w:val="Heading2"/>
      </w:pPr>
      <w:r>
        <w:t>3.1 Third Parties</w:t>
      </w:r>
    </w:p>
    <w:p>
      <w:pPr>
        <w:pStyle w:val="ListBullet"/>
      </w:pPr>
      <w:r>
        <w:rPr>
          <w:b/>
        </w:rPr>
        <w:t>Immediate Notification:</w:t>
      </w:r>
    </w:p>
    <w:p>
      <w:r>
        <w:t xml:space="preserve">  Third Parties must notify Oxford University without undue delay and, where feasible, within 24 hours of becoming aware of a personal data breach.</w:t>
      </w:r>
    </w:p>
    <w:p>
      <w:pPr>
        <w:pStyle w:val="ListBullet"/>
      </w:pPr>
      <w:r>
        <w:rPr>
          <w:b/>
        </w:rPr>
        <w:t>Information Provision:</w:t>
      </w:r>
    </w:p>
    <w:p>
      <w:r>
        <w:t xml:space="preserve">  The notification must include, at minimum:</w:t>
      </w:r>
    </w:p>
    <w:p>
      <w:pPr>
        <w:pStyle w:val="ListBullet"/>
      </w:pPr>
      <w:r>
        <w:t>Description of the nature of the breach, including categories and approximate number of data subjects and data records concerned.</w:t>
      </w:r>
    </w:p>
    <w:p>
      <w:pPr>
        <w:pStyle w:val="ListBullet"/>
      </w:pPr>
      <w:r>
        <w:t>Contact details of the Third Party’s Data Protection Officer or relevant contact.</w:t>
      </w:r>
    </w:p>
    <w:p>
      <w:pPr>
        <w:pStyle w:val="ListBullet"/>
      </w:pPr>
      <w:r>
        <w:t>Likely consequences of the breach.</w:t>
      </w:r>
    </w:p>
    <w:p>
      <w:pPr>
        <w:pStyle w:val="ListBullet"/>
      </w:pPr>
      <w:r>
        <w:t>Measures taken or proposed to address the breach and mitigate its effects.</w:t>
      </w:r>
    </w:p>
    <w:p>
      <w:pPr>
        <w:pStyle w:val="ListBullet"/>
      </w:pPr>
      <w:r>
        <w:t>Identification of any regulated data fields involved (e.g., full names, dates of birth, addresses, email addresses, phone numbers, financial account details, credit card numbers, tax file numbers, Medicare numbers, login credentials, Social Security Numbers, etc.), as detected by automated tools such as those provided by the cybersecai.io platform.</w:t>
      </w:r>
    </w:p>
    <w:p>
      <w:pPr>
        <w:pStyle w:val="Heading2"/>
      </w:pPr>
      <w:r>
        <w:t>3.2 Oxford University</w:t>
      </w:r>
    </w:p>
    <w:p>
      <w:pPr>
        <w:pStyle w:val="ListBullet"/>
      </w:pPr>
      <w:r>
        <w:rPr>
          <w:b/>
        </w:rPr>
        <w:t>Assessment:</w:t>
      </w:r>
    </w:p>
    <w:p>
      <w:r>
        <w:t xml:space="preserve">  Upon receipt of notification, the University’s Data Protection Officer (DPO) or designated authority will assess the breach’s severity, including the types of regulated data involved and associated risks, referencing automated risk assessments (e.g., from the cybersecai.io platform), and determine notification obligations under UK GDPR Articles 33 and 34, as well as other applicable regulations (Australian Privacy Act, PCI DSS, CCPA/CPRA).</w:t>
      </w:r>
    </w:p>
    <w:p>
      <w:pPr>
        <w:pStyle w:val="ListBullet"/>
      </w:pPr>
      <w:r>
        <w:rPr>
          <w:b/>
        </w:rPr>
        <w:t>Regulatory Notification:</w:t>
      </w:r>
    </w:p>
    <w:p>
      <w:r>
        <w:t xml:space="preserve">  Where required, the University will notify the ICO within 72 hours of becoming aware of the breach. If the breach involves data regulated under other jurisdictions (e.g., Australia, California), the University will ensure notification to the relevant authorities as required.</w:t>
      </w:r>
    </w:p>
    <w:p>
      <w:pPr>
        <w:pStyle w:val="ListBullet"/>
      </w:pPr>
      <w:r>
        <w:rPr>
          <w:b/>
        </w:rPr>
        <w:t>Data Subject Notification:</w:t>
      </w:r>
    </w:p>
    <w:p>
      <w:r>
        <w:t xml:space="preserve">  If the breach is likely to result in a high risk to individuals’ rights and freedoms, the University will notify affected data subjects without undue delay, including those in other jurisdictions as appropriate.</w:t>
      </w:r>
    </w:p>
    <w:p>
      <w:r>
        <w:br/>
      </w:r>
    </w:p>
    <w:p>
      <w:pPr>
        <w:pStyle w:val="Heading1"/>
      </w:pPr>
      <w:r>
        <w:t>4. Procedure</w:t>
      </w:r>
    </w:p>
    <w:p>
      <w:pPr>
        <w:pStyle w:val="Heading2"/>
      </w:pPr>
      <w:r>
        <w:t>4.1 Contractual Requirements</w:t>
      </w:r>
    </w:p>
    <w:p>
      <w:pPr>
        <w:pStyle w:val="ListBullet"/>
      </w:pPr>
      <w:r>
        <w:t>All contracts with Third Parties processing personal data on behalf of Oxford University must include:</w:t>
      </w:r>
    </w:p>
    <w:p>
      <w:pPr>
        <w:pStyle w:val="ListBullet"/>
      </w:pPr>
      <w:r>
        <w:t>A binding obligation to notify the University of any personal data breach without undue delay, and in any event within 24 hours.</w:t>
      </w:r>
    </w:p>
    <w:p>
      <w:pPr>
        <w:pStyle w:val="ListBullet"/>
      </w:pPr>
      <w:r>
        <w:t>A requirement to provide all relevant information as specified in Section 3.1, including a breakdown of detected regulated data fields and risk ratings (as per cybersecai.io automated assessments).</w:t>
      </w:r>
    </w:p>
    <w:p>
      <w:pPr>
        <w:pStyle w:val="ListBullet"/>
      </w:pPr>
      <w:r>
        <w:t>An obligation to cooperate fully with the University in breach investigation, mitigation, and regulatory notification.</w:t>
      </w:r>
    </w:p>
    <w:p>
      <w:pPr>
        <w:pStyle w:val="Heading2"/>
      </w:pPr>
      <w:r>
        <w:t>4.2 Practical Steps</w:t>
      </w:r>
    </w:p>
    <w:p>
      <w:pPr>
        <w:pStyle w:val="ListNumber"/>
      </w:pPr>
      <w:r>
        <w:t>**Detection:**</w:t>
      </w:r>
    </w:p>
    <w:p>
      <w:r>
        <w:t xml:space="preserve">   Third Party identifies or suspects a personal data breach, including but not limited to exposure of highly sensitive regulated data such as:</w:t>
      </w:r>
    </w:p>
    <w:p>
      <w:pPr>
        <w:pStyle w:val="ListBullet"/>
      </w:pPr>
      <w:r>
        <w:t>Full names, dates of birth, physical addresses, email addresses, phone numbers, financial account details, credit card numbers, tax file numbers, Medicare numbers, login credentials, and Social Security Numbers (as detected and flagged by cybersecai.io).</w:t>
      </w:r>
    </w:p>
    <w:p>
      <w:pPr>
        <w:pStyle w:val="ListNumber"/>
      </w:pPr>
      <w:r>
        <w:t>**Notification to University:**</w:t>
      </w:r>
    </w:p>
    <w:p>
      <w:r>
        <w:t xml:space="preserve">   Third Party notifies the University’s DPO at [insert contact details] within 24 hours, providing all required information, including a summary of detected fields and risk ratings (see Section 5 for required documentation).</w:t>
      </w:r>
    </w:p>
    <w:p>
      <w:pPr>
        <w:pStyle w:val="ListNumber"/>
      </w:pPr>
      <w:r>
        <w:t>**Triage and Assessment:**</w:t>
      </w:r>
    </w:p>
    <w:p>
      <w:r>
        <w:t xml:space="preserve">   University DPO logs the breach, assesses risk (including reference to cybersecai.io risk ratings and auditor recommendations such as “quarantine file and notify data owner”), and determines further action.</w:t>
      </w:r>
    </w:p>
    <w:p>
      <w:pPr>
        <w:pStyle w:val="ListNumber"/>
      </w:pPr>
      <w:r>
        <w:t>**Containment and Mitigation:**</w:t>
      </w:r>
    </w:p>
    <w:p>
      <w:r>
        <w:t xml:space="preserve">   Third Party and University coordinate to contain the breach and mitigate adverse effects, including following auditor-proposed actions such as “quarantine file,” “notify data owner,” and “immediate review” where indicated by automated assessments.</w:t>
      </w:r>
    </w:p>
    <w:p>
      <w:pPr>
        <w:pStyle w:val="ListNumber"/>
      </w:pPr>
      <w:r>
        <w:t>**Regulatory and Data Subject Notification:**</w:t>
      </w:r>
    </w:p>
    <w:p>
      <w:r>
        <w:t xml:space="preserve">   University handles all notifications to the ICO and data subjects, as appropriate. Where the breach involves data regulated by the Australian Privacy Act, PCI DSS, or CCPA/CPRA, the University will notify the relevant authorities and affected individuals as required.</w:t>
      </w:r>
    </w:p>
    <w:p>
      <w:pPr>
        <w:pStyle w:val="ListNumber"/>
      </w:pPr>
      <w:r>
        <w:t>**Review and Reporting:**</w:t>
      </w:r>
    </w:p>
    <w:p>
      <w:r>
        <w:t xml:space="preserve">   University and Third Party conduct a post-incident review and implement corrective actions, referencing the cybersecai.io auditor agent’s view and overall risk ratings to inform remediation.</w:t>
      </w:r>
    </w:p>
    <w:p>
      <w:r>
        <w:br/>
      </w:r>
    </w:p>
    <w:p>
      <w:pPr>
        <w:pStyle w:val="Heading1"/>
      </w:pPr>
      <w:r>
        <w:t>5. Record-Keeping</w:t>
      </w:r>
    </w:p>
    <w:p>
      <w:pPr>
        <w:pStyle w:val="ListBullet"/>
      </w:pPr>
      <w:r>
        <w:t>All breach notifications, assessments, and actions taken must be documented and retained in accordance with the University’s Data Breach Response Policy and UK GDPR Article 33(5).</w:t>
      </w:r>
    </w:p>
    <w:p>
      <w:pPr>
        <w:pStyle w:val="ListBullet"/>
      </w:pPr>
      <w:r>
        <w:t>Documentation must include:</w:t>
      </w:r>
    </w:p>
    <w:p>
      <w:pPr>
        <w:pStyle w:val="ListBullet"/>
      </w:pPr>
      <w:r>
        <w:t>The nature and scope of the breach.</w:t>
      </w:r>
    </w:p>
    <w:p>
      <w:pPr>
        <w:pStyle w:val="ListBullet"/>
      </w:pPr>
      <w:r>
        <w:t>The list of regulated data fields detected (e.g., full name, date of birth, address, credit card number, SSN, etc.).</w:t>
      </w:r>
    </w:p>
    <w:p>
      <w:pPr>
        <w:pStyle w:val="ListBullet"/>
      </w:pPr>
      <w:r>
        <w:t>Risk ratings and auditor recommendations as provided by the cybersecai.io platform.</w:t>
      </w:r>
    </w:p>
    <w:p>
      <w:pPr>
        <w:pStyle w:val="ListBullet"/>
      </w:pPr>
      <w:r>
        <w:t>Actions taken, including quarantine, notifications, and remediation.</w:t>
      </w:r>
    </w:p>
    <w:p>
      <w:r>
        <w:br/>
      </w:r>
    </w:p>
    <w:p>
      <w:pPr>
        <w:pStyle w:val="Heading1"/>
      </w:pPr>
      <w:r>
        <w:t>6. Training and Awareness</w:t>
      </w:r>
    </w:p>
    <w:p>
      <w:pPr>
        <w:pStyle w:val="ListBullet"/>
      </w:pPr>
      <w:r>
        <w:t>Relevant University staff and Third Parties must receive training on this Procedure and their respective breach notification obligations.</w:t>
      </w:r>
    </w:p>
    <w:p>
      <w:pPr>
        <w:pStyle w:val="ListBullet"/>
      </w:pPr>
      <w:r>
        <w:t>Training must include awareness of the types of regulated data fields and risk ratings as identified by automated tools such as cybersecai.io.</w:t>
      </w:r>
    </w:p>
    <w:p>
      <w:r>
        <w:br/>
      </w:r>
    </w:p>
    <w:p>
      <w:pPr>
        <w:pStyle w:val="Heading1"/>
      </w:pPr>
      <w:r>
        <w:t>7. Review</w:t>
      </w:r>
    </w:p>
    <w:p>
      <w:pPr>
        <w:pStyle w:val="ListBullet"/>
      </w:pPr>
      <w:r>
        <w:t>This Procedure will be reviewed annually or upon significant regulatory or operational changes, including updates to risk assessment methodologies or changes in the types of regulated data processed (as reported by cybersecai.io).</w:t>
      </w:r>
    </w:p>
    <w:p>
      <w:r>
        <w:br/>
      </w:r>
    </w:p>
    <w:p>
      <w:r>
        <w:t xml:space="preserve">**Approved by:** [Data Protection Officer]  </w:t>
      </w:r>
    </w:p>
    <w:p>
      <w:r>
        <w:t xml:space="preserve">**Date:** [Insert Date]  </w:t>
      </w:r>
    </w:p>
    <w:p>
      <w:r>
        <w:t>**Next Review:** [Insert Date]</w:t>
      </w:r>
    </w:p>
    <w:p>
      <w:r>
        <w:br/>
      </w:r>
    </w:p>
    <w:p>
      <w:r>
        <w:t>*For further guidance, contact the University Data Protection Officer at [insert contact details].*</w:t>
      </w:r>
    </w:p>
    <w:p>
      <w:r>
        <w:br/>
      </w:r>
    </w:p>
    <w:p>
      <w:r>
        <w:t xml:space="preserve">**Expert Note:**  </w:t>
      </w:r>
    </w:p>
    <w:p>
      <w:r>
        <w:t>This Procedure incorporates best practices for regulated data breach notification, leveraging automated detection and risk assessment outputs from the cybersecai.io platform. Recent analyses (see below) confirm the presence of highly sensitive and regulated data fields across multiple standards, including UK GDPR, Australian Privacy Act, PCI DSS, and CCPA/CPRA, with overall risk ratings consistently marked as “High.” Auditor recommendations frequently include immediate quarantine of affected files and prompt notification of data owners, underscoring the criticality of rapid and comprehensive breach response.</w:t>
      </w:r>
    </w:p>
    <w:p>
      <w:r>
        <w:t>**cybersecai.io Platform Data (Summary):**</w:t>
      </w:r>
    </w:p>
    <w:p>
      <w:pPr>
        <w:pStyle w:val="ListBullet"/>
      </w:pPr>
      <w:r>
        <w:t>Detected fields include: full name, date of birth, address, email address, phone number, financial account details, credit card number, tax file number, Medicare number, login credentials, Social Security Number (SSN), and more.</w:t>
      </w:r>
    </w:p>
    <w:p>
      <w:pPr>
        <w:pStyle w:val="ListBullet"/>
      </w:pPr>
      <w:r>
        <w:t>Risk ratings: High (across all relevant standards).</w:t>
      </w:r>
    </w:p>
    <w:p>
      <w:pPr>
        <w:pStyle w:val="ListBullet"/>
      </w:pPr>
      <w:r>
        <w:t>Auditor actions: Quarantine file, notify data owner, immediate review.</w:t>
      </w:r>
    </w:p>
    <w:p>
      <w:pPr>
        <w:pStyle w:val="ListBullet"/>
      </w:pPr>
      <w:r>
        <w:t>Jurisdictions impacted: UK, Australia, EU/EEA, USA (California).</w:t>
      </w:r>
    </w:p>
    <w:p>
      <w:r>
        <w:t>*Source: cybersecai.io platform, M365 and SMB risk assessment outputs,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