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Third-Party Data Breach Management Procedure</w:t>
      </w:r>
    </w:p>
    <w:p>
      <w:r>
        <w:t xml:space="preserve">**CybersecAI.IO Pty Ltd**  </w:t>
      </w:r>
    </w:p>
    <w:p>
      <w:r>
        <w:t>*Effective: [Insert Date]*</w:t>
      </w:r>
    </w:p>
    <w:p>
      <w:r>
        <w:br/>
      </w:r>
    </w:p>
    <w:p>
      <w:pPr>
        <w:pStyle w:val="Heading1"/>
      </w:pPr>
      <w:r>
        <w:t>1. Purpose</w:t>
      </w:r>
    </w:p>
    <w:p>
      <w:r>
        <w:t>This procedure establishes a structured approach for CybersecAI.IO Pty Ltd (“the Company”) to manage and respond to data breaches involving third-party service providers, in accordance with the Privacy Act 1988 (Cth), Australian Privacy Principles (APPs), OAIC guidance, and other applicable data protection standards. It aims to ensure timely, coordinated, and compliant breach response to protect personal information and mitigate risks, especially where regulated and highly sensitive data is involved.</w:t>
      </w:r>
    </w:p>
    <w:p>
      <w:r>
        <w:br/>
      </w:r>
    </w:p>
    <w:p>
      <w:pPr>
        <w:pStyle w:val="Heading1"/>
      </w:pPr>
      <w:r>
        <w:t>2. Scope</w:t>
      </w:r>
    </w:p>
    <w:p>
      <w:r>
        <w:t>This procedure applies to all actual or suspected data breaches involving third-party vendors, contractors, or partners who process, store, or access personal information on behalf of the Company, including data regulated under the Australian Privacy Act, UK GDPR, PCI DSS, and other relevant frameworks.</w:t>
      </w:r>
    </w:p>
    <w:p>
      <w:r>
        <w:br/>
      </w:r>
    </w:p>
    <w:p>
      <w:pPr>
        <w:pStyle w:val="Heading1"/>
      </w:pPr>
      <w:r>
        <w:t>3. Definitions</w:t>
      </w:r>
    </w:p>
    <w:p>
      <w:pPr>
        <w:pStyle w:val="ListBullet"/>
      </w:pPr>
      <w:r>
        <w:t>**Data Breach:** Unauthorised access to, disclosure of, or loss of personal information, as defined under the Privacy Act 1988 (Cth) and applicable international standards (e.g., UK GDPR, PCI DSS).</w:t>
      </w:r>
    </w:p>
    <w:p>
      <w:pPr>
        <w:pStyle w:val="ListBullet"/>
      </w:pPr>
      <w:r>
        <w:t>**Third Party:** Any external entity engaged by the Company to provide services involving personal information.</w:t>
      </w:r>
    </w:p>
    <w:p>
      <w:pPr>
        <w:pStyle w:val="ListBullet"/>
      </w:pPr>
      <w:r>
        <w:t>**OAIC:** Office of the Australian Information Commissioner.</w:t>
      </w:r>
    </w:p>
    <w:p>
      <w:pPr>
        <w:pStyle w:val="ListBullet"/>
      </w:pPr>
      <w:r>
        <w:t>**NDB Scheme:** Notifiable Data Breaches scheme under Part IIIC of the Privacy Act 1988 (Cth).</w:t>
      </w:r>
    </w:p>
    <w:p>
      <w:pPr>
        <w:pStyle w:val="ListBullet"/>
      </w:pPr>
      <w:r>
        <w:t>**Sensitive Data:** Data fields such as full name, date of birth, address, email address, phone number, financial account details, credit card number, tax file number, Medicare number, and other identifiers regulated under Australian Privacy Act, UK GDPR, PCI DSS, and CCPA/CPRA.</w:t>
      </w:r>
    </w:p>
    <w:p>
      <w:r>
        <w:br/>
      </w:r>
    </w:p>
    <w:p>
      <w:pPr>
        <w:pStyle w:val="Heading1"/>
      </w:pPr>
      <w:r>
        <w:t>4.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Data Protection Officer (DPO)</w:t>
            </w:r>
          </w:p>
        </w:tc>
        <w:tc>
          <w:tcPr>
            <w:tcW w:type="dxa" w:w="4320"/>
          </w:tcPr>
          <w:p>
            <w:r>
              <w:t>Lead breach response, coordinate with third parties, assess notification obligations, report to OAIC and other relevant authorities.</w:t>
            </w:r>
          </w:p>
        </w:tc>
      </w:tr>
      <w:tr>
        <w:tc>
          <w:tcPr>
            <w:tcW w:type="dxa" w:w="4320"/>
          </w:tcPr>
          <w:p>
            <w:r>
              <w:t>IT Security Manager</w:t>
            </w:r>
          </w:p>
        </w:tc>
        <w:tc>
          <w:tcPr>
            <w:tcW w:type="dxa" w:w="4320"/>
          </w:tcPr>
          <w:p>
            <w:r>
              <w:t>Investigate technical aspects, contain breach, liaise with third-party IT teams.</w:t>
            </w:r>
          </w:p>
        </w:tc>
      </w:tr>
      <w:tr>
        <w:tc>
          <w:tcPr>
            <w:tcW w:type="dxa" w:w="4320"/>
          </w:tcPr>
          <w:p>
            <w:r>
              <w:t>Legal Counsel</w:t>
            </w:r>
          </w:p>
        </w:tc>
        <w:tc>
          <w:tcPr>
            <w:tcW w:type="dxa" w:w="4320"/>
          </w:tcPr>
          <w:p>
            <w:r>
              <w:t>Advise on legal obligations (including cross-jurisdictional), review notifications, manage regulatory communications.</w:t>
            </w:r>
          </w:p>
        </w:tc>
      </w:tr>
      <w:tr>
        <w:tc>
          <w:tcPr>
            <w:tcW w:type="dxa" w:w="4320"/>
          </w:tcPr>
          <w:p>
            <w:r>
              <w:t>Business Unit Manager</w:t>
            </w:r>
          </w:p>
        </w:tc>
        <w:tc>
          <w:tcPr>
            <w:tcW w:type="dxa" w:w="4320"/>
          </w:tcPr>
          <w:p>
            <w:r>
              <w:t>Notify DPO of suspected breaches, support investigation, liaise with third-party contacts.</w:t>
            </w:r>
          </w:p>
        </w:tc>
      </w:tr>
      <w:tr>
        <w:tc>
          <w:tcPr>
            <w:tcW w:type="dxa" w:w="4320"/>
          </w:tcPr>
          <w:p>
            <w:r>
              <w:t>Third-Party Vendor</w:t>
            </w:r>
          </w:p>
        </w:tc>
        <w:tc>
          <w:tcPr>
            <w:tcW w:type="dxa" w:w="4320"/>
          </w:tcPr>
          <w:p>
            <w:r>
              <w:t>Notify Company of breaches per contract, cooperate in investigation and remediation.</w:t>
            </w:r>
          </w:p>
        </w:tc>
      </w:tr>
    </w:tbl>
    <w:p>
      <w:r>
        <w:br/>
      </w:r>
    </w:p>
    <w:p>
      <w:pPr>
        <w:pStyle w:val="Heading1"/>
      </w:pPr>
      <w:r>
        <w:t>5. Procedure</w:t>
      </w:r>
    </w:p>
    <w:p>
      <w:pPr>
        <w:pStyle w:val="Heading2"/>
      </w:pPr>
      <w:r>
        <w:t>5.1. Breach Identification and Notification</w:t>
      </w:r>
    </w:p>
    <w:p>
      <w:pPr>
        <w:pStyle w:val="ListNumber"/>
      </w:pPr>
      <w:r>
        <w:t>**Immediate Notification:**</w:t>
      </w:r>
    </w:p>
    <w:p>
      <w:pPr>
        <w:pStyle w:val="ListBullet"/>
      </w:pPr>
      <w:r>
        <w:t>Third-party vendors must notify the Company of any actual or suspected data breach affecting Company data within **24 hours** of discovery, as contractually required.</w:t>
      </w:r>
    </w:p>
    <w:p>
      <w:pPr>
        <w:pStyle w:val="ListBullet"/>
      </w:pPr>
      <w:r>
        <w:t>Internal staff must escalate any suspected third-party breach to the DPO immediately.</w:t>
      </w:r>
    </w:p>
    <w:p>
      <w:pPr>
        <w:pStyle w:val="ListNumber"/>
      </w:pPr>
      <w:r>
        <w:t>**Initial Assessment:**</w:t>
      </w:r>
    </w:p>
    <w:p>
      <w:pPr>
        <w:pStyle w:val="ListBullet"/>
      </w:pPr>
      <w:r>
        <w:t>DPO, with IT Security Manager and Legal Counsel, conducts a preliminary assessment within **48 hours** to determine:</w:t>
      </w:r>
    </w:p>
    <w:p>
      <w:pPr>
        <w:pStyle w:val="ListBullet"/>
      </w:pPr>
      <w:r>
        <w:t>Nature and scope of the breach</w:t>
      </w:r>
    </w:p>
    <w:p>
      <w:pPr>
        <w:pStyle w:val="ListBullet"/>
      </w:pPr>
      <w:r>
        <w:t>Data and individuals affected, including identification of regulated fields (e.g., names, DOB, financial accounts, credit card numbers, tax file numbers, Medicare numbers, etc.)</w:t>
      </w:r>
    </w:p>
    <w:p>
      <w:pPr>
        <w:pStyle w:val="ListBullet"/>
      </w:pPr>
      <w:r>
        <w:t>Whether personal information and/or sensitive data is involved</w:t>
      </w:r>
    </w:p>
    <w:p>
      <w:pPr>
        <w:jc w:val="left"/>
      </w:pPr>
      <w:r>
        <w:rPr>
          <w:i/>
        </w:rPr>
        <w:t>**Expert Note:**</w:t>
      </w:r>
    </w:p>
    <w:p>
      <w:pPr>
        <w:jc w:val="left"/>
      </w:pPr>
      <w:r>
        <w:rPr>
          <w:i/>
        </w:rPr>
        <w:t>According to data from the CybersecAI.IO platform, typical third-party breaches often involve highly regulated data fields such as full names, dates of birth, addresses, email addresses, phone numbers, financial account details, credit card numbers, tax file numbers, and Medicare numbers. Exposure of these fields elevates the risk profile and may trigger multiple regulatory notification requirements.</w:t>
      </w:r>
    </w:p>
    <w:p>
      <w:pPr>
        <w:pStyle w:val="Heading2"/>
      </w:pPr>
      <w:r>
        <w:t>5.2. Containment and Mitigation</w:t>
      </w:r>
    </w:p>
    <w:p>
      <w:pPr>
        <w:pStyle w:val="ListNumber"/>
      </w:pPr>
      <w:r>
        <w:t>**Containment Actions:**</w:t>
      </w:r>
    </w:p>
    <w:p>
      <w:pPr>
        <w:pStyle w:val="ListBullet"/>
      </w:pPr>
      <w:r>
        <w:t>Coordinate with third-party to contain the breach (e.g., disable compromised accounts, revoke access, apply patches).</w:t>
      </w:r>
    </w:p>
    <w:p>
      <w:pPr>
        <w:pStyle w:val="ListBullet"/>
      </w:pPr>
      <w:r>
        <w:t>Ensure third-party preserves evidence for investigation.</w:t>
      </w:r>
    </w:p>
    <w:p>
      <w:pPr>
        <w:pStyle w:val="ListNumber"/>
      </w:pPr>
      <w:r>
        <w:t>**Mitigation Measures:**</w:t>
      </w:r>
    </w:p>
    <w:p>
      <w:pPr>
        <w:pStyle w:val="ListBullet"/>
      </w:pPr>
      <w:r>
        <w:t>Assess and implement steps to prevent further unauthorised access or disclosure.</w:t>
      </w:r>
    </w:p>
    <w:p>
      <w:pPr>
        <w:pStyle w:val="ListBullet"/>
      </w:pPr>
      <w:r>
        <w:t>Require third-party to provide incident reports and remediation plans.</w:t>
      </w:r>
    </w:p>
    <w:p>
      <w:pPr>
        <w:pStyle w:val="Heading2"/>
      </w:pPr>
      <w:r>
        <w:t>5.3. Investigation and Risk Assessment</w:t>
      </w:r>
    </w:p>
    <w:p>
      <w:pPr>
        <w:pStyle w:val="ListNumber"/>
      </w:pPr>
      <w:r>
        <w:t>**Joint Investigation:**</w:t>
      </w:r>
    </w:p>
    <w:p>
      <w:pPr>
        <w:pStyle w:val="ListBullet"/>
      </w:pPr>
      <w:r>
        <w:t>Collaborate with third-party to investigate root cause, timeline, and impact.</w:t>
      </w:r>
    </w:p>
    <w:p>
      <w:pPr>
        <w:pStyle w:val="ListBullet"/>
      </w:pPr>
      <w:r>
        <w:t>Document findings and maintain chain of custody for evidence.</w:t>
      </w:r>
    </w:p>
    <w:p>
      <w:pPr>
        <w:pStyle w:val="ListNumber"/>
      </w:pPr>
      <w:r>
        <w:t>**Risk Assessment:**</w:t>
      </w:r>
    </w:p>
    <w:p>
      <w:pPr>
        <w:pStyle w:val="ListBullet"/>
      </w:pPr>
      <w:r>
        <w:t>Assess risk of harm to individuals, considering sensitivity and volume of data, and likelihood of misuse.</w:t>
      </w:r>
    </w:p>
    <w:p>
      <w:pPr>
        <w:pStyle w:val="ListBullet"/>
      </w:pPr>
      <w:r>
        <w:t>Determine if the breach is likely to result in serious harm (per NDB Scheme), and whether it triggers obligations under other frameworks (e.g., UK GDPR, PCI DSS, CCPA/CPRA).</w:t>
      </w:r>
    </w:p>
    <w:p>
      <w:pPr>
        <w:pStyle w:val="ListBullet"/>
      </w:pPr>
      <w:r>
        <w:t>Reference CybersecAI.IO platform risk ratings and auditor agent views for objective assessment.</w:t>
      </w:r>
    </w:p>
    <w:p>
      <w:pPr>
        <w:jc w:val="left"/>
      </w:pPr>
      <w:r>
        <w:rPr>
          <w:i/>
        </w:rPr>
        <w:t>**Expert Note:**</w:t>
      </w:r>
    </w:p>
    <w:p>
      <w:pPr>
        <w:jc w:val="left"/>
      </w:pPr>
      <w:r>
        <w:rPr>
          <w:i/>
        </w:rPr>
        <w:t>As per recent CybersecAI.IO platform findings, breaches involving data such as credit card numbers, tax file numbers, Medicare numbers, and login credentials are consistently rated as "High" risk under Australian Privacy Act, UK GDPR, PCI DSS, and CCPA/CPRA. The presence of these fields necessitates urgent escalation and comprehensive risk evaluation.</w:t>
      </w:r>
    </w:p>
    <w:p>
      <w:pPr>
        <w:pStyle w:val="Heading2"/>
      </w:pPr>
      <w:r>
        <w:t>5.4. Notification and Regulatory Compliance</w:t>
      </w:r>
    </w:p>
    <w:p>
      <w:pPr>
        <w:pStyle w:val="ListNumber"/>
      </w:pPr>
      <w:r>
        <w:t>**Notification Decision:**</w:t>
      </w:r>
    </w:p>
    <w:p>
      <w:pPr>
        <w:pStyle w:val="ListBullet"/>
      </w:pPr>
      <w:r>
        <w:t>DPO, with Legal Counsel, determines if notification to OAIC and affected individuals is required under the NDB Scheme (Privacy Act, Part IIIC), and if notification is required under other applicable frameworks (e.g., UK GDPR, PCI DSS, CCPA/CPRA).</w:t>
      </w:r>
    </w:p>
    <w:p>
      <w:pPr>
        <w:pStyle w:val="ListBullet"/>
      </w:pPr>
      <w:r>
        <w:t>If required, notify OAIC and affected individuals as soon as practicable, and within 30 days of becoming aware of the breach.</w:t>
      </w:r>
    </w:p>
    <w:p>
      <w:pPr>
        <w:pStyle w:val="ListBullet"/>
      </w:pPr>
      <w:r>
        <w:t>Where applicable, notify other regulators (e.g., UK ICO, PCI DSS acquirers, US state authorities).</w:t>
      </w:r>
    </w:p>
    <w:p>
      <w:pPr>
        <w:pStyle w:val="ListNumber"/>
      </w:pPr>
      <w:r>
        <w:t>**Notification Content:**</w:t>
      </w:r>
    </w:p>
    <w:p>
      <w:pPr>
        <w:pStyle w:val="ListBullet"/>
      </w:pPr>
      <w:r>
        <w:t>Notifications must include:</w:t>
      </w:r>
    </w:p>
    <w:p>
      <w:pPr>
        <w:pStyle w:val="ListBullet"/>
      </w:pPr>
      <w:r>
        <w:t>Description of the breach</w:t>
      </w:r>
    </w:p>
    <w:p>
      <w:pPr>
        <w:pStyle w:val="ListBullet"/>
      </w:pPr>
      <w:r>
        <w:t>Types of information involved (with specific mention of regulated fields, e.g., credit card numbers, tax file numbers, Medicare numbers, etc.)</w:t>
      </w:r>
    </w:p>
    <w:p>
      <w:pPr>
        <w:pStyle w:val="ListBullet"/>
      </w:pPr>
      <w:r>
        <w:t>Recommendations for affected individuals (e.g., monitoring accounts, contacting financial institutions, reporting to government agencies)</w:t>
      </w:r>
    </w:p>
    <w:p>
      <w:pPr>
        <w:pStyle w:val="ListBullet"/>
      </w:pPr>
      <w:r>
        <w:t>Contact details for further information</w:t>
      </w:r>
    </w:p>
    <w:p>
      <w:pPr>
        <w:pStyle w:val="ListNumber"/>
      </w:pPr>
      <w:r>
        <w:t>**Third-Party Notification:**</w:t>
      </w:r>
    </w:p>
    <w:p>
      <w:pPr>
        <w:pStyle w:val="ListBullet"/>
      </w:pPr>
      <w:r>
        <w:t>Require third-party to notify their own regulators or affected parties if applicable, and provide evidence of compliance.</w:t>
      </w:r>
    </w:p>
    <w:p>
      <w:pPr>
        <w:pStyle w:val="Heading2"/>
      </w:pPr>
      <w:r>
        <w:t>5.5. Post-Incident Review</w:t>
      </w:r>
    </w:p>
    <w:p>
      <w:pPr>
        <w:pStyle w:val="ListNumber"/>
      </w:pPr>
      <w:r>
        <w:t>**Review and Remediation:**</w:t>
      </w:r>
    </w:p>
    <w:p>
      <w:pPr>
        <w:pStyle w:val="ListBullet"/>
      </w:pPr>
      <w:r>
        <w:t>Conduct post-incident review with third-party to identify lessons learned and improve controls.</w:t>
      </w:r>
    </w:p>
    <w:p>
      <w:pPr>
        <w:pStyle w:val="ListBullet"/>
      </w:pPr>
      <w:r>
        <w:t>Update contracts, policies, and procedures as necessary, including requirements for prompt notification and secure handling of regulated data fields.</w:t>
      </w:r>
    </w:p>
    <w:p>
      <w:pPr>
        <w:pStyle w:val="ListNumber"/>
      </w:pPr>
      <w:r>
        <w:t>**Record Keeping:**</w:t>
      </w:r>
    </w:p>
    <w:p>
      <w:pPr>
        <w:pStyle w:val="ListBullet"/>
      </w:pPr>
      <w:r>
        <w:t>Maintain detailed records of the breach, response actions, communications, and reviews for at least 7 years.</w:t>
      </w:r>
    </w:p>
    <w:p>
      <w:pPr>
        <w:pStyle w:val="ListBullet"/>
      </w:pPr>
      <w:r>
        <w:t>Ensure records include details of all regulated data fields involved, risk assessments, and regulatory notifications.</w:t>
      </w:r>
    </w:p>
    <w:p>
      <w:r>
        <w:br/>
      </w:r>
    </w:p>
    <w:p>
      <w:pPr>
        <w:pStyle w:val="Heading1"/>
      </w:pPr>
      <w:r>
        <w:t>6. Regulatory Cross-References</w:t>
      </w:r>
    </w:p>
    <w:p>
      <w:pPr>
        <w:pStyle w:val="ListBullet"/>
      </w:pPr>
      <w:r>
        <w:t>**Privacy Act 1988 (Cth), APP 11.1:** Obligation to take reasonable steps to protect personal information from misuse, interference, loss, unauthorised access, modification, or disclosure.</w:t>
      </w:r>
    </w:p>
    <w:p>
      <w:pPr>
        <w:pStyle w:val="ListBullet"/>
      </w:pPr>
      <w:r>
        <w:t>**OAIC Notifiable Data Breaches (NDB) Scheme:** Guidance on assessment, notification, and remediation of eligible data breaches.</w:t>
      </w:r>
    </w:p>
    <w:p>
      <w:pPr>
        <w:pStyle w:val="ListBullet"/>
      </w:pPr>
      <w:r>
        <w:t>**OAIC Guide to Securing Personal Information:** Recommended security measures and breach response practices.</w:t>
      </w:r>
    </w:p>
    <w:p>
      <w:pPr>
        <w:pStyle w:val="ListBullet"/>
      </w:pPr>
      <w:r>
        <w:t>**UK GDPR:** Requirements for notification of personal data breaches to the ICO and affected individuals.</w:t>
      </w:r>
    </w:p>
    <w:p>
      <w:pPr>
        <w:pStyle w:val="ListBullet"/>
      </w:pPr>
      <w:r>
        <w:t>**PCI DSS:** Obligations for notification and remediation in the event of payment card data breaches.</w:t>
      </w:r>
    </w:p>
    <w:p>
      <w:pPr>
        <w:pStyle w:val="ListBullet"/>
      </w:pPr>
      <w:r>
        <w:t>**CCPA/CPRA:** Requirements for notification in the event of breaches involving Social Security Numbers or other regulated identifiers.</w:t>
      </w:r>
    </w:p>
    <w:p>
      <w:r>
        <w:br/>
      </w:r>
    </w:p>
    <w:p>
      <w:pPr>
        <w:pStyle w:val="Heading1"/>
      </w:pPr>
      <w:r>
        <w:t>7. Related Documents</w:t>
      </w:r>
    </w:p>
    <w:p>
      <w:pPr>
        <w:pStyle w:val="ListBullet"/>
      </w:pPr>
      <w:r>
        <w:t>[Data Breach Response Plan]</w:t>
      </w:r>
    </w:p>
    <w:p>
      <w:pPr>
        <w:pStyle w:val="ListBullet"/>
      </w:pPr>
      <w:r>
        <w:t>[Third-Party Vendor Management Policy]</w:t>
      </w:r>
    </w:p>
    <w:p>
      <w:pPr>
        <w:pStyle w:val="ListBullet"/>
      </w:pPr>
      <w:r>
        <w:t>[Incident Management Policy]</w:t>
      </w:r>
    </w:p>
    <w:p>
      <w:pPr>
        <w:pStyle w:val="ListBullet"/>
      </w:pPr>
      <w:r>
        <w:t>[Privacy Policy]</w:t>
      </w:r>
    </w:p>
    <w:p>
      <w:r>
        <w:br/>
      </w:r>
    </w:p>
    <w:p>
      <w:pPr>
        <w:pStyle w:val="Heading1"/>
      </w:pPr>
      <w:r>
        <w:t>8. Review</w:t>
      </w:r>
    </w:p>
    <w:p>
      <w:r>
        <w:t>This procedure will be reviewed annually or following any significant data breach or regulatory change.</w:t>
      </w:r>
    </w:p>
    <w:p>
      <w:r>
        <w:br/>
      </w:r>
    </w:p>
    <w:p>
      <w:r>
        <w:t xml:space="preserve">*Approved by: [Name, Position]*  </w:t>
      </w:r>
    </w:p>
    <w:p>
      <w:r>
        <w:t>*Date: [Insert Date]*</w:t>
      </w:r>
    </w:p>
    <w:p>
      <w:r>
        <w:br/>
      </w:r>
    </w:p>
    <w:p>
      <w:r>
        <w:t>**Appendix: Data Risk Profile (CybersecAI.IO Platform Extracts)**</w:t>
      </w:r>
    </w:p>
    <w:p>
      <w:pPr>
        <w:jc w:val="left"/>
      </w:pPr>
      <w:r>
        <w:rPr>
          <w:i/>
        </w:rPr>
        <w:t>The following data types have been identified in recent third-party incidents and are considered highly sensitive and regulated:</w:t>
      </w:r>
    </w:p>
    <w:p>
      <w:pPr>
        <w:jc w:val="left"/>
      </w:pPr>
      <w:r>
        <w:rPr>
          <w:i/>
        </w:rPr>
      </w:r>
    </w:p>
    <w:p>
      <w:pPr>
        <w:jc w:val="left"/>
      </w:pPr>
      <w:r>
        <w:rPr>
          <w:i/>
        </w:rPr>
        <w:t>- Full Name, Date of Birth, Address, Email Address, Phone Number</w:t>
      </w:r>
    </w:p>
    <w:p>
      <w:pPr>
        <w:jc w:val="left"/>
      </w:pPr>
      <w:r>
        <w:rPr>
          <w:i/>
        </w:rPr>
        <w:t>- Financial Account Details, Credit Card Number (PAN), Billing Address, Transaction Amount</w:t>
      </w:r>
    </w:p>
    <w:p>
      <w:pPr>
        <w:jc w:val="left"/>
      </w:pPr>
      <w:r>
        <w:rPr>
          <w:i/>
        </w:rPr>
        <w:t>- Tax File Number, Medicare Number, Driver’s License, Social Security Number (SSN)</w:t>
      </w:r>
    </w:p>
    <w:p>
      <w:pPr>
        <w:jc w:val="left"/>
      </w:pPr>
      <w:r>
        <w:rPr>
          <w:i/>
        </w:rPr>
        <w:t>- Login Credentials, Payroll/Remuneration, Payment Receipts, Tax Invoice</w:t>
      </w:r>
    </w:p>
    <w:p>
      <w:pPr>
        <w:jc w:val="left"/>
      </w:pPr>
      <w:r>
        <w:rPr>
          <w:i/>
        </w:rPr>
      </w:r>
    </w:p>
    <w:p>
      <w:pPr>
        <w:jc w:val="left"/>
      </w:pPr>
      <w:r>
        <w:rPr>
          <w:i/>
        </w:rPr>
        <w:t>**Risk Rating:** High</w:t>
      </w:r>
    </w:p>
    <w:p>
      <w:pPr>
        <w:jc w:val="left"/>
      </w:pPr>
      <w:r>
        <w:rPr>
          <w:i/>
        </w:rPr>
        <w:t>**Regulatory Coverage:** Australian Privacy Act, UK GDPR, PCI DSS, CCPA/CPRA</w:t>
      </w:r>
    </w:p>
    <w:p>
      <w:pPr>
        <w:jc w:val="left"/>
      </w:pPr>
      <w:r>
        <w:rPr>
          <w:i/>
        </w:rPr>
        <w:t>**Auditor Proposed Action:** Quarantine file and notify data owner for immediate review</w:t>
      </w:r>
    </w:p>
    <w:p>
      <w:pPr>
        <w:jc w:val="left"/>
      </w:pPr>
      <w:r>
        <w:rPr>
          <w:i/>
        </w:rPr>
      </w:r>
    </w:p>
    <w:p>
      <w:pPr>
        <w:jc w:val="left"/>
      </w:pPr>
      <w:r>
        <w:rPr>
          <w:i/>
        </w:rPr>
        <w:t>*Source: cybersecai.io platform automated risk analysis (see M365/SMB extracts above)*</w:t>
      </w:r>
    </w:p>
    <w:p>
      <w:r>
        <w:br/>
      </w:r>
    </w:p>
    <w:p>
      <w:r>
        <w:t>**End of Procedure**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