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Calibri" w:hAnsi="Calibri"/>
          <w:b/>
          <w:i w:val="0"/>
          <w:color w:val="211030"/>
          <w:sz w:val="64"/>
        </w:rPr>
        <w:t>Maryland Budget Intel Tool</w:t>
      </w:r>
    </w:p>
    <w:p>
      <w:pPr>
        <w:jc w:val="center"/>
      </w:pPr>
      <w:r>
        <w:rPr>
          <w:rFonts w:ascii="Calibri" w:hAnsi="Calibri"/>
          <w:b w:val="0"/>
          <w:i w:val="0"/>
          <w:color w:val="6321A5"/>
          <w:sz w:val="36"/>
        </w:rPr>
        <w:t>Technical Handoff Documentation</w:t>
      </w:r>
    </w:p>
    <w:p>
      <w:pPr>
        <w:spacing w:before="480"/>
        <w:jc w:val="center"/>
      </w:pPr>
      <w:r>
        <w:rPr>
          <w:rFonts w:ascii="Calibri" w:hAnsi="Calibri"/>
          <w:b w:val="0"/>
          <w:i/>
          <w:color w:val="121212"/>
          <w:sz w:val="24"/>
        </w:rPr>
        <w:t>University of Maryland iSchool Capstone Project</w:t>
      </w:r>
    </w:p>
    <w:p>
      <w:pPr>
        <w:jc w:val="center"/>
      </w:pPr>
      <w:r>
        <w:rPr>
          <w:rFonts w:ascii="Calibri" w:hAnsi="Calibri"/>
          <w:b w:val="0"/>
          <w:i/>
          <w:color w:val="555555"/>
          <w:sz w:val="22"/>
        </w:rPr>
        <w:t>In partnership with NXT and the Senate Budget &amp; Taxation Committee Staff</w:t>
      </w:r>
    </w:p>
    <w:p/>
    <w:p/>
    <w:tbl>
      <w:tblPr>
        <w:tblStyle w:val="LightShading-Accent4"/>
        <w:tblW w:type="auto" w:w="0"/>
        <w:jc w:val="center"/>
        <w:tblLook w:firstColumn="1" w:firstRow="1" w:lastColumn="0" w:lastRow="0" w:noHBand="0" w:noVBand="1" w:val="04A0"/>
      </w:tblPr>
      <w:tblGrid>
        <w:gridCol w:w="4824"/>
        <w:gridCol w:w="4824"/>
      </w:tblGrid>
      <w:tr>
        <w:tc>
          <w:tcPr>
            <w:tcW w:type="dxa" w:w="4824"/>
          </w:tcPr>
          <w:p>
            <w:r/>
            <w:r>
              <w:rPr>
                <w:rFonts w:ascii="Calibri" w:hAnsi="Calibri"/>
                <w:b/>
                <w:i w:val="0"/>
                <w:color w:val="211030"/>
                <w:sz w:val="22"/>
              </w:rPr>
              <w:t>Live Site</w:t>
            </w:r>
          </w:p>
        </w:tc>
        <w:tc>
          <w:tcPr>
            <w:tcW w:type="dxa" w:w="4824"/>
          </w:tcPr>
          <w:p>
            <w:r/>
            <w:r>
              <w:rPr>
                <w:rFonts w:ascii="Calibri" w:hAnsi="Calibri"/>
                <w:b w:val="0"/>
                <w:i w:val="0"/>
                <w:color w:val="121212"/>
                <w:sz w:val="22"/>
              </w:rPr>
              <w:t>https://mdbudgetintel.netlify.app</w:t>
            </w:r>
          </w:p>
        </w:tc>
      </w:tr>
      <w:tr>
        <w:tc>
          <w:tcPr>
            <w:tcW w:type="dxa" w:w="4824"/>
          </w:tcPr>
          <w:p>
            <w:r/>
            <w:r>
              <w:rPr>
                <w:rFonts w:ascii="Calibri" w:hAnsi="Calibri"/>
                <w:b/>
                <w:i w:val="0"/>
                <w:color w:val="211030"/>
                <w:sz w:val="22"/>
              </w:rPr>
              <w:t>Home Page Repository</w:t>
            </w:r>
          </w:p>
        </w:tc>
        <w:tc>
          <w:tcPr>
            <w:tcW w:type="dxa" w:w="4824"/>
          </w:tcPr>
          <w:p>
            <w:r/>
            <w:r>
              <w:rPr>
                <w:rFonts w:ascii="Calibri" w:hAnsi="Calibri"/>
                <w:b w:val="0"/>
                <w:i w:val="0"/>
                <w:color w:val="121212"/>
                <w:sz w:val="22"/>
              </w:rPr>
              <w:t>https://github.com/asingh3506/md-budget-site</w:t>
            </w:r>
          </w:p>
        </w:tc>
      </w:tr>
      <w:tr>
        <w:tc>
          <w:tcPr>
            <w:tcW w:type="dxa" w:w="4824"/>
          </w:tcPr>
          <w:p>
            <w:r/>
            <w:r>
              <w:rPr>
                <w:rFonts w:ascii="Calibri" w:hAnsi="Calibri"/>
                <w:b/>
                <w:i w:val="0"/>
                <w:color w:val="211030"/>
                <w:sz w:val="22"/>
              </w:rPr>
              <w:t>Deep-Dive Repository</w:t>
            </w:r>
          </w:p>
        </w:tc>
        <w:tc>
          <w:tcPr>
            <w:tcW w:type="dxa" w:w="4824"/>
          </w:tcPr>
          <w:p>
            <w:r/>
            <w:r>
              <w:rPr>
                <w:rFonts w:ascii="Calibri" w:hAnsi="Calibri"/>
                <w:b w:val="0"/>
                <w:i w:val="0"/>
                <w:color w:val="121212"/>
                <w:sz w:val="22"/>
              </w:rPr>
              <w:t>https://github.com/priyanshu124/IT_state_budget_agent</w:t>
            </w:r>
          </w:p>
        </w:tc>
      </w:tr>
      <w:tr>
        <w:tc>
          <w:tcPr>
            <w:tcW w:type="dxa" w:w="4824"/>
          </w:tcPr>
          <w:p>
            <w:r/>
            <w:r>
              <w:rPr>
                <w:rFonts w:ascii="Calibri" w:hAnsi="Calibri"/>
                <w:b/>
                <w:i w:val="0"/>
                <w:color w:val="211030"/>
                <w:sz w:val="22"/>
              </w:rPr>
              <w:t>Document Version</w:t>
            </w:r>
          </w:p>
        </w:tc>
        <w:tc>
          <w:tcPr>
            <w:tcW w:type="dxa" w:w="4824"/>
          </w:tcPr>
          <w:p>
            <w:r/>
            <w:r>
              <w:rPr>
                <w:rFonts w:ascii="Calibri" w:hAnsi="Calibri"/>
                <w:b w:val="0"/>
                <w:i w:val="0"/>
                <w:color w:val="121212"/>
                <w:sz w:val="22"/>
              </w:rPr>
              <w:t>1.0 — May 2026</w:t>
            </w:r>
          </w:p>
        </w:tc>
      </w:tr>
    </w:tbl>
    <w:p/>
    <w:p>
      <w:pPr>
        <w:spacing w:before="480"/>
        <w:jc w:val="center"/>
      </w:pPr>
      <w:r>
        <w:rPr>
          <w:rFonts w:ascii="Calibri" w:hAnsi="Calibri"/>
          <w:b w:val="0"/>
          <w:i w:val="0"/>
          <w:color w:val="121212"/>
          <w:sz w:val="22"/>
        </w:rPr>
        <w:t>Aarushi Singh  ·  Nadvi Haque  ·  Priyanshu Gupta  ·  James Van Doorn</w:t>
      </w:r>
    </w:p>
    <w:p>
      <w:r>
        <w:br w:type="page"/>
      </w:r>
    </w:p>
    <w:p>
      <w:pPr>
        <w:keepNext/>
        <w:spacing w:before="240" w:after="120"/>
      </w:pPr>
      <w:r>
        <w:rPr>
          <w:rFonts w:ascii="Calibri" w:hAnsi="Calibri"/>
          <w:b/>
          <w:i w:val="0"/>
          <w:color w:val="6321A5"/>
          <w:sz w:val="32"/>
        </w:rPr>
        <w:t>Table of Contents</w:t>
      </w:r>
    </w:p>
    <w:p>
      <w:pPr>
        <w:spacing w:after="120" w:line="300" w:lineRule="auto"/>
      </w:pPr>
      <w:r>
        <w:t xml:space="preserve">1. </w:t>
      </w:r>
      <w:r>
        <w:rPr>
          <w:color w:val="6321A5"/>
          <w:u w:val="single"/>
        </w:rPr>
        <w:t>Executive Summary</w:t>
      </w:r>
      <w:r>
        <w:t xml:space="preserve"> 2. </w:t>
      </w:r>
      <w:r>
        <w:rPr>
          <w:color w:val="6321A5"/>
          <w:u w:val="single"/>
        </w:rPr>
        <w:t>System Architecture</w:t>
      </w:r>
      <w:r>
        <w:t xml:space="preserve"> 3. </w:t>
      </w:r>
      <w:r>
        <w:rPr>
          <w:color w:val="6321A5"/>
          <w:u w:val="single"/>
        </w:rPr>
        <w:t>Home Page Features</w:t>
      </w:r>
      <w:r>
        <w:t xml:space="preserve"> 4. </w:t>
      </w:r>
      <w:r>
        <w:rPr>
          <w:color w:val="6321A5"/>
          <w:u w:val="single"/>
        </w:rPr>
        <w:t>Deep-Dive Features</w:t>
      </w:r>
      <w:r>
        <w:t xml:space="preserve"> 5. </w:t>
      </w:r>
      <w:r>
        <w:rPr>
          <w:color w:val="6321A5"/>
          <w:u w:val="single"/>
        </w:rPr>
        <w:t>Data Sources</w:t>
      </w:r>
      <w:r>
        <w:t xml:space="preserve"> 6. </w:t>
      </w:r>
      <w:r>
        <w:rPr>
          <w:color w:val="6321A5"/>
          <w:u w:val="single"/>
        </w:rPr>
        <w:t>Setting Up the Home Page Locally</w:t>
      </w:r>
      <w:r>
        <w:t xml:space="preserve"> 7. </w:t>
      </w:r>
      <w:r>
        <w:rPr>
          <w:color w:val="6321A5"/>
          <w:u w:val="single"/>
        </w:rPr>
        <w:t>Setting Up the Deep-Dive Locally</w:t>
      </w:r>
      <w:r>
        <w:t xml:space="preserve"> 8. </w:t>
      </w:r>
      <w:r>
        <w:rPr>
          <w:color w:val="6321A5"/>
          <w:u w:val="single"/>
        </w:rPr>
        <w:t>Updating the Live Site</w:t>
      </w:r>
      <w:r>
        <w:t xml:space="preserve"> 9. </w:t>
      </w:r>
      <w:r>
        <w:rPr>
          <w:color w:val="6321A5"/>
          <w:u w:val="single"/>
        </w:rPr>
        <w:t>Future Scope</w:t>
      </w:r>
      <w:r>
        <w:t xml:space="preserve"> 10. </w:t>
      </w:r>
      <w:r>
        <w:rPr>
          <w:color w:val="6321A5"/>
          <w:u w:val="single"/>
        </w:rPr>
        <w:t>Known Limitations</w:t>
      </w:r>
      <w:r>
        <w:t xml:space="preserve"> 11. </w:t>
      </w:r>
      <w:r>
        <w:rPr>
          <w:color w:val="6321A5"/>
          <w:u w:val="single"/>
        </w:rPr>
        <w:t>Glossary</w:t>
      </w:r>
      <w:r>
        <w:t xml:space="preserve"> 12. </w:t>
      </w:r>
      <w:r>
        <w:rPr>
          <w:color w:val="6321A5"/>
          <w:u w:val="single"/>
        </w:rPr>
        <w:t>Contributors and Contact</w:t>
      </w:r>
    </w:p>
    <w:p>
      <w:pPr>
        <w:spacing w:after="160"/>
        <w:ind w:left="432"/>
      </w:pPr>
      <w:r>
        <w:rPr>
          <w:rFonts w:ascii="Calibri" w:hAnsi="Calibri"/>
          <w:b w:val="0"/>
          <w:i/>
          <w:color w:val="555555"/>
          <w:sz w:val="22"/>
        </w:rPr>
        <w:t>**Screenshot conventions.** Every place this document says `[SCREENSHOT: ...]` is an instruction for the maintainer to capture a screen from https://mdbudgetintel.netlify.app and embed it at that location. The bracket text describes what the screenshot should show. Recommended size: 1400 × 900 px, PNG, saved under `docs/screenshots/` in the repository.</w:t>
      </w:r>
    </w:p>
    <w:p>
      <w:pPr>
        <w:jc w:val="center"/>
      </w:pPr>
      <w:r>
        <w:rPr>
          <w:rFonts w:ascii="Calibri" w:hAnsi="Calibri"/>
          <w:b w:val="0"/>
          <w:i w:val="0"/>
          <w:color w:val="555555"/>
          <w:sz w:val="18"/>
        </w:rPr>
        <w:t>──────────────────────────────────────────────────</w:t>
      </w:r>
    </w:p>
    <w:p>
      <w:pPr>
        <w:keepNext/>
        <w:spacing w:before="240" w:after="120"/>
      </w:pPr>
      <w:r>
        <w:rPr>
          <w:rFonts w:ascii="Calibri" w:hAnsi="Calibri"/>
          <w:b/>
          <w:i w:val="0"/>
          <w:color w:val="6321A5"/>
          <w:sz w:val="32"/>
        </w:rPr>
        <w:t>1. Executive Summary</w:t>
      </w:r>
    </w:p>
    <w:p>
      <w:pPr>
        <w:spacing w:after="120" w:line="300" w:lineRule="auto"/>
      </w:pPr>
      <w:r>
        <w:t>Maryland Budget Intel Tool (MBIT) is a public fiscal analysis dashboard for Maryland's FY2027 operating budget. It transforms published government documents into interactive visualizations, drill-downs, and source-cited data tables designed for legislators, legislative staffers, journalists, policy analysts, and the general public.</w:t>
      </w:r>
    </w:p>
    <w:p>
      <w:pPr>
        <w:spacing w:after="120" w:line="300" w:lineRule="auto"/>
      </w:pPr>
      <w:r>
        <w:t>The platform is composed of two connected applications served from a single domain:</w:t>
      </w:r>
    </w:p>
    <w:p>
      <w:pPr>
        <w:pStyle w:val="ListBullet"/>
        <w:spacing w:after="60"/>
      </w:pPr>
      <w:r>
        <w:t xml:space="preserve">The </w:t>
      </w:r>
      <w:r>
        <w:rPr>
          <w:b/>
        </w:rPr>
        <w:t>Home Page</w:t>
      </w:r>
      <w:r>
        <w:t xml:space="preserve"> delivers a curated narrative — six KPI cards, a ten-slide chart carousel, a county allocation map, a methodology page, and a guardrails page.</w:t>
      </w:r>
    </w:p>
    <w:p>
      <w:pPr>
        <w:pStyle w:val="ListBullet"/>
        <w:spacing w:after="60"/>
      </w:pPr>
      <w:r>
        <w:t xml:space="preserve">The </w:t>
      </w:r>
      <w:r>
        <w:rPr>
          <w:b/>
        </w:rPr>
        <w:t>Deep-Dive</w:t>
      </w:r>
      <w:r>
        <w:t xml:space="preserve"> delivers a deeper analytical workbench — agency-level explorers, TBM-classified IT spend, year-over-year variance analysis, anomaly detection, and a MITDP project explorer covering 80+ Maryland agencies across FY2017–FY2027.</w:t>
      </w:r>
    </w:p>
    <w:p>
      <w:pPr>
        <w:spacing w:after="120" w:line="300" w:lineRule="auto"/>
      </w:pPr>
      <w:r>
        <w:t>Both applications publish every figure with a citation that links directly to the source page of the underlying audited document. The data pipeline is fully deterministic and reproducible from public PDFs and open government APIs.</w:t>
      </w:r>
    </w:p>
    <w:p>
      <w:pPr>
        <w:spacing w:before="200" w:after="40"/>
        <w:jc w:val="center"/>
      </w:pPr>
      <w:r>
        <w:rPr>
          <w:rFonts w:ascii="Calibri" w:hAnsi="Calibri"/>
          <w:b w:val="0"/>
          <w:i/>
          <w:color w:val="555555"/>
          <w:sz w:val="20"/>
        </w:rPr>
        <w:t>[ SCREENSHOT PLACEHOLDER ]</w:t>
        <w:br/>
        <w:t>Home page hero showing the headline, KPI row, and the start of the carousel</w:t>
      </w:r>
    </w:p>
    <w:p>
      <w:pPr>
        <w:jc w:val="center"/>
      </w:pPr>
      <w:r>
        <w:rPr>
          <w:rFonts w:ascii="Calibri" w:hAnsi="Calibri"/>
          <w:b w:val="0"/>
          <w:i w:val="0"/>
          <w:color w:val="555555"/>
          <w:sz w:val="18"/>
        </w:rPr>
        <w:t>────────────────────────────────────────────────────────────</w:t>
      </w:r>
    </w:p>
    <w:p>
      <w:pPr>
        <w:jc w:val="center"/>
      </w:pPr>
      <w:r>
        <w:rPr>
          <w:rFonts w:ascii="Calibri" w:hAnsi="Calibri"/>
          <w:b w:val="0"/>
          <w:i w:val="0"/>
          <w:color w:val="555555"/>
          <w:sz w:val="18"/>
        </w:rPr>
        <w:t>──────────────────────────────────────────────────</w:t>
      </w:r>
    </w:p>
    <w:p>
      <w:pPr>
        <w:keepNext/>
        <w:spacing w:before="240" w:after="120"/>
      </w:pPr>
      <w:r>
        <w:rPr>
          <w:rFonts w:ascii="Calibri" w:hAnsi="Calibri"/>
          <w:b/>
          <w:i w:val="0"/>
          <w:color w:val="6321A5"/>
          <w:sz w:val="32"/>
        </w:rPr>
        <w:t>2. System Architecture</w:t>
      </w:r>
    </w:p>
    <w:p>
      <w:pPr>
        <w:keepNext/>
        <w:spacing w:before="240" w:after="120"/>
      </w:pPr>
      <w:r>
        <w:rPr>
          <w:rFonts w:ascii="Calibri" w:hAnsi="Calibri"/>
          <w:b/>
          <w:i w:val="0"/>
          <w:color w:val="802CD7"/>
          <w:sz w:val="26"/>
        </w:rPr>
        <w:t>2.1 Two-repository structure</w:t>
      </w:r>
    </w:p>
    <w:p>
      <w:pPr>
        <w:spacing w:after="120" w:line="300" w:lineRule="auto"/>
      </w:pPr>
      <w:r>
        <w:t>The project is split across two GitHub repositories, each with a distinct responsibility:</w:t>
      </w:r>
    </w:p>
    <w:tbl>
      <w:tblPr>
        <w:tblStyle w:val="LightGrid-Accent4"/>
        <w:tblW w:type="auto" w:w="0"/>
        <w:tblLook w:firstColumn="1" w:firstRow="1" w:lastColumn="0" w:lastRow="0" w:noHBand="0" w:noVBand="1" w:val="04A0"/>
      </w:tblPr>
      <w:tblGrid>
        <w:gridCol w:w="3216"/>
        <w:gridCol w:w="3216"/>
        <w:gridCol w:w="3216"/>
      </w:tblGrid>
      <w:tr>
        <w:tc>
          <w:tcPr>
            <w:tcW w:type="dxa" w:w="3216"/>
          </w:tcPr>
          <w:p>
            <w:r/>
            <w:r>
              <w:rPr>
                <w:rFonts w:ascii="Calibri" w:hAnsi="Calibri"/>
                <w:b/>
                <w:i w:val="0"/>
                <w:color w:val="211030"/>
                <w:sz w:val="20"/>
              </w:rPr>
              <w:t>Repository</w:t>
            </w:r>
          </w:p>
        </w:tc>
        <w:tc>
          <w:tcPr>
            <w:tcW w:type="dxa" w:w="3216"/>
          </w:tcPr>
          <w:p>
            <w:r/>
            <w:r>
              <w:rPr>
                <w:rFonts w:ascii="Calibri" w:hAnsi="Calibri"/>
                <w:b/>
                <w:i w:val="0"/>
                <w:color w:val="211030"/>
                <w:sz w:val="20"/>
              </w:rPr>
              <w:t>Owner</w:t>
            </w:r>
          </w:p>
        </w:tc>
        <w:tc>
          <w:tcPr>
            <w:tcW w:type="dxa" w:w="3216"/>
          </w:tcPr>
          <w:p>
            <w:r/>
            <w:r>
              <w:rPr>
                <w:rFonts w:ascii="Calibri" w:hAnsi="Calibri"/>
                <w:b/>
                <w:i w:val="0"/>
                <w:color w:val="211030"/>
                <w:sz w:val="20"/>
              </w:rPr>
              <w:t>What lives here</w:t>
            </w:r>
          </w:p>
        </w:tc>
      </w:tr>
      <w:tr>
        <w:tc>
          <w:tcPr>
            <w:tcW w:type="dxa" w:w="3216"/>
          </w:tcPr>
          <w:p>
            <w:r>
              <w:rPr>
                <w:color w:val="121212"/>
                <w:sz w:val="20"/>
              </w:rPr>
            </w:r>
            <w:r>
              <w:rPr>
                <w:rFonts w:ascii="Consolas" w:hAnsi="Consolas"/>
                <w:color w:val="802CD7"/>
                <w:sz w:val="20"/>
              </w:rPr>
              <w:t>asingh3506/md-budget-site</w:t>
            </w:r>
          </w:p>
        </w:tc>
        <w:tc>
          <w:tcPr>
            <w:tcW w:type="dxa" w:w="3216"/>
          </w:tcPr>
          <w:p>
            <w:r>
              <w:rPr>
                <w:color w:val="121212"/>
                <w:sz w:val="20"/>
              </w:rPr>
            </w:r>
            <w:r>
              <w:rPr>
                <w:color w:val="121212"/>
                <w:sz w:val="20"/>
              </w:rPr>
              <w:t>Home Page team</w:t>
            </w:r>
          </w:p>
        </w:tc>
        <w:tc>
          <w:tcPr>
            <w:tcW w:type="dxa" w:w="3216"/>
          </w:tcPr>
          <w:p>
            <w:r>
              <w:rPr>
                <w:color w:val="121212"/>
                <w:sz w:val="20"/>
              </w:rPr>
            </w:r>
            <w:r>
              <w:rPr>
                <w:color w:val="121212"/>
                <w:sz w:val="20"/>
              </w:rPr>
              <w:t>Next.js home page, Methodology, Guardrails, the pre-built Deep-Dive bundle, Netlify deploy config</w:t>
            </w:r>
          </w:p>
        </w:tc>
      </w:tr>
      <w:tr>
        <w:tc>
          <w:tcPr>
            <w:tcW w:type="dxa" w:w="3216"/>
          </w:tcPr>
          <w:p>
            <w:r>
              <w:rPr>
                <w:color w:val="121212"/>
                <w:sz w:val="20"/>
              </w:rPr>
            </w:r>
            <w:r>
              <w:rPr>
                <w:rFonts w:ascii="Consolas" w:hAnsi="Consolas"/>
                <w:color w:val="802CD7"/>
                <w:sz w:val="20"/>
              </w:rPr>
              <w:t>priyanshu124/IT_state_budget_agent</w:t>
            </w:r>
          </w:p>
        </w:tc>
        <w:tc>
          <w:tcPr>
            <w:tcW w:type="dxa" w:w="3216"/>
          </w:tcPr>
          <w:p>
            <w:r>
              <w:rPr>
                <w:color w:val="121212"/>
                <w:sz w:val="20"/>
              </w:rPr>
            </w:r>
            <w:r>
              <w:rPr>
                <w:color w:val="121212"/>
                <w:sz w:val="20"/>
              </w:rPr>
              <w:t>Deep-Dive team</w:t>
            </w:r>
          </w:p>
        </w:tc>
        <w:tc>
          <w:tcPr>
            <w:tcW w:type="dxa" w:w="3216"/>
          </w:tcPr>
          <w:p>
            <w:r>
              <w:rPr>
                <w:color w:val="121212"/>
                <w:sz w:val="20"/>
              </w:rPr>
            </w:r>
            <w:r>
              <w:rPr>
                <w:color w:val="121212"/>
                <w:sz w:val="20"/>
              </w:rPr>
              <w:t>Python ingestion, DBT transformations, TBM classification agents, Evidence dashboard source, raw and processed data</w:t>
            </w:r>
          </w:p>
        </w:tc>
      </w:tr>
    </w:tbl>
    <w:p/>
    <w:p>
      <w:pPr>
        <w:keepNext/>
        <w:spacing w:before="240" w:after="120"/>
      </w:pPr>
      <w:r>
        <w:rPr>
          <w:rFonts w:ascii="Calibri" w:hAnsi="Calibri"/>
          <w:b/>
          <w:i w:val="0"/>
          <w:color w:val="802CD7"/>
          <w:sz w:val="26"/>
        </w:rPr>
        <w:t>2.2 How the two apps connect</w:t>
      </w:r>
    </w:p>
    <w:p>
      <w:pPr>
        <w:spacing w:after="120" w:line="300" w:lineRule="auto"/>
      </w:pPr>
      <w:r>
        <w:t>The home page is the entry point. When the Deep-Dive is ready to publish:</w:t>
      </w:r>
    </w:p>
    <w:p>
      <w:pPr>
        <w:spacing w:after="120" w:line="300" w:lineRule="auto"/>
      </w:pPr>
      <w:r>
        <w:t xml:space="preserve">1. The Evidence dashboard is </w:t>
      </w:r>
      <w:r>
        <w:rPr>
          <w:b/>
        </w:rPr>
        <w:t>built into static HTML</w:t>
      </w:r>
      <w:r>
        <w:t xml:space="preserve"> (</w:t>
      </w:r>
      <w:r>
        <w:rPr>
          <w:rFonts w:ascii="Consolas" w:hAnsi="Consolas"/>
          <w:color w:val="802CD7"/>
          <w:sz w:val="20"/>
        </w:rPr>
        <w:t>npm run dashboard:build</w:t>
      </w:r>
      <w:r>
        <w:t xml:space="preserve">). 2. The build output is committed into </w:t>
      </w:r>
      <w:r>
        <w:rPr>
          <w:rFonts w:ascii="Consolas" w:hAnsi="Consolas"/>
          <w:color w:val="802CD7"/>
          <w:sz w:val="20"/>
        </w:rPr>
        <w:t>public/deep-dive/</w:t>
      </w:r>
      <w:r>
        <w:t xml:space="preserve"> in the home-page repository. 3. Netlify rebuilds the home page on push to </w:t>
      </w:r>
      <w:r>
        <w:rPr>
          <w:rFonts w:ascii="Consolas" w:hAnsi="Consolas"/>
          <w:color w:val="802CD7"/>
          <w:sz w:val="20"/>
        </w:rPr>
        <w:t>master</w:t>
      </w:r>
      <w:r>
        <w:t xml:space="preserve">. The static Deep-Dive ships under the same domain at </w:t>
      </w:r>
      <w:r>
        <w:rPr>
          <w:rFonts w:ascii="Consolas" w:hAnsi="Consolas"/>
          <w:color w:val="802CD7"/>
          <w:sz w:val="20"/>
        </w:rPr>
        <w:t>/deep-dive/*</w:t>
      </w:r>
      <w:r>
        <w:t xml:space="preserve">. 4. Next.js URL rewrites map </w:t>
      </w:r>
      <w:r>
        <w:rPr>
          <w:rFonts w:ascii="Consolas" w:hAnsi="Consolas"/>
          <w:color w:val="802CD7"/>
          <w:sz w:val="20"/>
        </w:rPr>
        <w:t>/deep-dive/&lt;page&gt;</w:t>
      </w:r>
      <w:r>
        <w:t xml:space="preserve"> to the pre-built </w:t>
      </w:r>
      <w:r>
        <w:rPr>
          <w:rFonts w:ascii="Consolas" w:hAnsi="Consolas"/>
          <w:color w:val="802CD7"/>
          <w:sz w:val="20"/>
        </w:rPr>
        <w:t>index.html</w:t>
      </w:r>
      <w:r>
        <w:t xml:space="preserve"> for that page.</w:t>
      </w:r>
    </w:p>
    <w:p>
      <w:pPr>
        <w:spacing w:after="120" w:line="300" w:lineRule="auto"/>
      </w:pPr>
      <w:r>
        <w:t>The result: one domain, one deploy, two apps. Users move between Home and Deep-Dive through the navigation bar without leaving the site.</w:t>
      </w:r>
    </w:p>
    <w:p>
      <w:pPr>
        <w:keepNext/>
        <w:spacing w:before="240" w:after="120"/>
      </w:pPr>
      <w:r>
        <w:rPr>
          <w:rFonts w:ascii="Calibri" w:hAnsi="Calibri"/>
          <w:b/>
          <w:i w:val="0"/>
          <w:color w:val="802CD7"/>
          <w:sz w:val="26"/>
        </w:rPr>
        <w:t>2.3 Data flow</w:t>
      </w:r>
    </w:p>
    <w:p>
      <w:pPr>
        <w:spacing w:before="120" w:after="160"/>
        <w:ind w:left="360"/>
      </w:pPr>
      <w:r>
        <w:rPr>
          <w:rFonts w:ascii="Consolas" w:hAnsi="Consolas"/>
          <w:color w:val="211030"/>
          <w:sz w:val="19"/>
        </w:rPr>
        <w:t xml:space="preserve">                                       Home Page</w:t>
        <w:br/>
        <w:t xml:space="preserve">                                ┌────────────────────────┐</w:t>
        <w:br/>
        <w:t xml:space="preserve">   Published PDFs ─┐            │  Static CSVs + JSON    │</w:t>
        <w:br/>
        <w:t xml:space="preserve">   (ACFR · JCR ·   │  manual    │  ↓                     │</w:t>
        <w:br/>
        <w:t xml:space="preserve">    MFR · DBM)     ├──extract──▶│  Plotly + D3 charts    │</w:t>
        <w:br/>
        <w:t xml:space="preserve">                   │            │  KPI cards · Map       │</w:t>
        <w:br/>
        <w:t xml:space="preserve">                   │            └────────────────────────┘</w:t>
        <w:br/>
        <w:t xml:space="preserve">                   │</w:t>
        <w:br/>
        <w:t xml:space="preserve">                   │                    Deep-Dive</w:t>
        <w:br/>
        <w:t xml:space="preserve">                   │            ┌────────────────────────┐</w:t>
        <w:br/>
        <w:t xml:space="preserve">                   ├───────────▶│  load_data.py          │</w:t>
        <w:br/>
        <w:t xml:space="preserve">                   │            │  → DuckDB (raw)        │</w:t>
        <w:br/>
        <w:t xml:space="preserve">   DBM Open Data ──┤            │  → DBT marts           │</w:t>
        <w:br/>
        <w:t xml:space="preserve">   API (live)      │            │  → Claude classifier   │</w:t>
        <w:br/>
        <w:t xml:space="preserve">                   │            │  → fct_it_spend        │</w:t>
        <w:br/>
        <w:t xml:space="preserve">   State Aid ──────┘            │  → Evidence pages      │</w:t>
        <w:br/>
        <w:t xml:space="preserve">   disclosure                   │  → public/deep-dive/   │</w:t>
        <w:br/>
        <w:t xml:space="preserve">                                └────────────────────────┘</w:t>
      </w:r>
    </w:p>
    <w:p>
      <w:pPr>
        <w:spacing w:after="120" w:line="300" w:lineRule="auto"/>
      </w:pPr>
      <w:r>
        <w:t>The home page processes its data manually through Python notebooks at update time. The Deep-Dive runs an automated pipeline: ingestion → DBT transformations → AI-assisted TBM classification → analytical marts → Evidence build.</w:t>
      </w:r>
    </w:p>
    <w:p>
      <w:pPr>
        <w:spacing w:before="200" w:after="40"/>
        <w:jc w:val="center"/>
      </w:pPr>
      <w:r>
        <w:rPr>
          <w:rFonts w:ascii="Calibri" w:hAnsi="Calibri"/>
          <w:b w:val="0"/>
          <w:i/>
          <w:color w:val="555555"/>
          <w:sz w:val="20"/>
        </w:rPr>
        <w:t>[ SCREENSHOT PLACEHOLDER ]</w:t>
        <w:br/>
        <w:t>The dashboard's navigation bar with Home, Deep-Dive, Methodology, Guardrails links</w:t>
      </w:r>
    </w:p>
    <w:p>
      <w:pPr>
        <w:jc w:val="center"/>
      </w:pPr>
      <w:r>
        <w:rPr>
          <w:rFonts w:ascii="Calibri" w:hAnsi="Calibri"/>
          <w:b w:val="0"/>
          <w:i w:val="0"/>
          <w:color w:val="555555"/>
          <w:sz w:val="18"/>
        </w:rPr>
        <w:t>────────────────────────────────────────────────────────────</w:t>
      </w:r>
    </w:p>
    <w:p>
      <w:pPr>
        <w:jc w:val="center"/>
      </w:pPr>
      <w:r>
        <w:rPr>
          <w:rFonts w:ascii="Calibri" w:hAnsi="Calibri"/>
          <w:b w:val="0"/>
          <w:i w:val="0"/>
          <w:color w:val="555555"/>
          <w:sz w:val="18"/>
        </w:rPr>
        <w:t>──────────────────────────────────────────────────</w:t>
      </w:r>
    </w:p>
    <w:p>
      <w:pPr>
        <w:keepNext/>
        <w:spacing w:before="240" w:after="120"/>
      </w:pPr>
      <w:r>
        <w:rPr>
          <w:rFonts w:ascii="Calibri" w:hAnsi="Calibri"/>
          <w:b/>
          <w:i w:val="0"/>
          <w:color w:val="6321A5"/>
          <w:sz w:val="32"/>
        </w:rPr>
        <w:t>3. Home Page Features</w:t>
      </w:r>
    </w:p>
    <w:p>
      <w:pPr>
        <w:keepNext/>
        <w:spacing w:before="240" w:after="120"/>
      </w:pPr>
      <w:r>
        <w:rPr>
          <w:rFonts w:ascii="Calibri" w:hAnsi="Calibri"/>
          <w:b/>
          <w:i w:val="0"/>
          <w:color w:val="802CD7"/>
          <w:sz w:val="26"/>
        </w:rPr>
        <w:t>3.1 KPI cards</w:t>
      </w:r>
    </w:p>
    <w:p>
      <w:pPr>
        <w:spacing w:after="120" w:line="300" w:lineRule="auto"/>
      </w:pPr>
      <w:r>
        <w:t>Six cards across the top of the home page summarize Maryland's FY2027 fiscal position. Each card has a label, a headline number, a one-line context note, and a colored top border that indicates direction.</w:t>
      </w:r>
    </w:p>
    <w:tbl>
      <w:tblPr>
        <w:tblStyle w:val="LightGrid-Accent4"/>
        <w:tblW w:type="auto" w:w="0"/>
        <w:tblLook w:firstColumn="1" w:firstRow="1" w:lastColumn="0" w:lastRow="0" w:noHBand="0" w:noVBand="1" w:val="04A0"/>
      </w:tblPr>
      <w:tblGrid>
        <w:gridCol w:w="3216"/>
        <w:gridCol w:w="3216"/>
        <w:gridCol w:w="3216"/>
      </w:tblGrid>
      <w:tr>
        <w:tc>
          <w:tcPr>
            <w:tcW w:type="dxa" w:w="3216"/>
          </w:tcPr>
          <w:p>
            <w:r/>
            <w:r>
              <w:rPr>
                <w:rFonts w:ascii="Calibri" w:hAnsi="Calibri"/>
                <w:b/>
                <w:i w:val="0"/>
                <w:color w:val="211030"/>
                <w:sz w:val="20"/>
              </w:rPr>
              <w:t>Card</w:t>
            </w:r>
          </w:p>
        </w:tc>
        <w:tc>
          <w:tcPr>
            <w:tcW w:type="dxa" w:w="3216"/>
          </w:tcPr>
          <w:p>
            <w:r/>
            <w:r>
              <w:rPr>
                <w:rFonts w:ascii="Calibri" w:hAnsi="Calibri"/>
                <w:b/>
                <w:i w:val="0"/>
                <w:color w:val="211030"/>
                <w:sz w:val="20"/>
              </w:rPr>
              <w:t>Color</w:t>
            </w:r>
          </w:p>
        </w:tc>
        <w:tc>
          <w:tcPr>
            <w:tcW w:type="dxa" w:w="3216"/>
          </w:tcPr>
          <w:p>
            <w:r/>
            <w:r>
              <w:rPr>
                <w:rFonts w:ascii="Calibri" w:hAnsi="Calibri"/>
                <w:b/>
                <w:i w:val="0"/>
                <w:color w:val="211030"/>
                <w:sz w:val="20"/>
              </w:rPr>
              <w:t>Meaning</w:t>
            </w:r>
          </w:p>
        </w:tc>
      </w:tr>
      <w:tr>
        <w:tc>
          <w:tcPr>
            <w:tcW w:type="dxa" w:w="3216"/>
          </w:tcPr>
          <w:p>
            <w:r>
              <w:rPr>
                <w:color w:val="121212"/>
                <w:sz w:val="20"/>
              </w:rPr>
            </w:r>
            <w:r>
              <w:rPr>
                <w:color w:val="121212"/>
                <w:sz w:val="20"/>
              </w:rPr>
              <w:t>FY2027 Operating Budget</w:t>
            </w:r>
          </w:p>
        </w:tc>
        <w:tc>
          <w:tcPr>
            <w:tcW w:type="dxa" w:w="3216"/>
          </w:tcPr>
          <w:p>
            <w:r>
              <w:rPr>
                <w:color w:val="121212"/>
                <w:sz w:val="20"/>
              </w:rPr>
            </w:r>
            <w:r>
              <w:rPr>
                <w:color w:val="121212"/>
                <w:sz w:val="20"/>
              </w:rPr>
              <w:t>Purple</w:t>
            </w:r>
          </w:p>
        </w:tc>
        <w:tc>
          <w:tcPr>
            <w:tcW w:type="dxa" w:w="3216"/>
          </w:tcPr>
          <w:p>
            <w:r>
              <w:rPr>
                <w:color w:val="121212"/>
                <w:sz w:val="20"/>
              </w:rPr>
            </w:r>
            <w:r>
              <w:rPr>
                <w:color w:val="121212"/>
                <w:sz w:val="20"/>
              </w:rPr>
              <w:t>Informational headline</w:t>
            </w:r>
          </w:p>
        </w:tc>
      </w:tr>
      <w:tr>
        <w:tc>
          <w:tcPr>
            <w:tcW w:type="dxa" w:w="3216"/>
          </w:tcPr>
          <w:p>
            <w:r>
              <w:rPr>
                <w:color w:val="121212"/>
                <w:sz w:val="20"/>
              </w:rPr>
            </w:r>
            <w:r>
              <w:rPr>
                <w:color w:val="121212"/>
                <w:sz w:val="20"/>
              </w:rPr>
              <w:t>Shortfall Closed</w:t>
            </w:r>
          </w:p>
        </w:tc>
        <w:tc>
          <w:tcPr>
            <w:tcW w:type="dxa" w:w="3216"/>
          </w:tcPr>
          <w:p>
            <w:r>
              <w:rPr>
                <w:color w:val="121212"/>
                <w:sz w:val="20"/>
              </w:rPr>
            </w:r>
            <w:r>
              <w:rPr>
                <w:color w:val="121212"/>
                <w:sz w:val="20"/>
              </w:rPr>
              <w:t>Green</w:t>
            </w:r>
          </w:p>
        </w:tc>
        <w:tc>
          <w:tcPr>
            <w:tcW w:type="dxa" w:w="3216"/>
          </w:tcPr>
          <w:p>
            <w:r>
              <w:rPr>
                <w:color w:val="121212"/>
                <w:sz w:val="20"/>
              </w:rPr>
            </w:r>
            <w:r>
              <w:rPr>
                <w:color w:val="121212"/>
                <w:sz w:val="20"/>
              </w:rPr>
              <w:t>On track</w:t>
            </w:r>
          </w:p>
        </w:tc>
      </w:tr>
      <w:tr>
        <w:tc>
          <w:tcPr>
            <w:tcW w:type="dxa" w:w="3216"/>
          </w:tcPr>
          <w:p>
            <w:r>
              <w:rPr>
                <w:color w:val="121212"/>
                <w:sz w:val="20"/>
              </w:rPr>
            </w:r>
            <w:r>
              <w:rPr>
                <w:color w:val="121212"/>
                <w:sz w:val="20"/>
              </w:rPr>
              <w:t>Structural Deficit Ahead</w:t>
            </w:r>
          </w:p>
        </w:tc>
        <w:tc>
          <w:tcPr>
            <w:tcW w:type="dxa" w:w="3216"/>
          </w:tcPr>
          <w:p>
            <w:r>
              <w:rPr>
                <w:color w:val="121212"/>
                <w:sz w:val="20"/>
              </w:rPr>
            </w:r>
            <w:r>
              <w:rPr>
                <w:color w:val="121212"/>
                <w:sz w:val="20"/>
              </w:rPr>
              <w:t>Red</w:t>
            </w:r>
          </w:p>
        </w:tc>
        <w:tc>
          <w:tcPr>
            <w:tcW w:type="dxa" w:w="3216"/>
          </w:tcPr>
          <w:p>
            <w:r>
              <w:rPr>
                <w:color w:val="121212"/>
                <w:sz w:val="20"/>
              </w:rPr>
            </w:r>
            <w:r>
              <w:rPr>
                <w:color w:val="121212"/>
                <w:sz w:val="20"/>
              </w:rPr>
              <w:t>Worsening</w:t>
            </w:r>
          </w:p>
        </w:tc>
      </w:tr>
      <w:tr>
        <w:tc>
          <w:tcPr>
            <w:tcW w:type="dxa" w:w="3216"/>
          </w:tcPr>
          <w:p>
            <w:r>
              <w:rPr>
                <w:color w:val="121212"/>
                <w:sz w:val="20"/>
              </w:rPr>
            </w:r>
            <w:r>
              <w:rPr>
                <w:color w:val="121212"/>
                <w:sz w:val="20"/>
              </w:rPr>
              <w:t>Budget Surplus</w:t>
            </w:r>
          </w:p>
        </w:tc>
        <w:tc>
          <w:tcPr>
            <w:tcW w:type="dxa" w:w="3216"/>
          </w:tcPr>
          <w:p>
            <w:r>
              <w:rPr>
                <w:color w:val="121212"/>
                <w:sz w:val="20"/>
              </w:rPr>
            </w:r>
            <w:r>
              <w:rPr>
                <w:color w:val="121212"/>
                <w:sz w:val="20"/>
              </w:rPr>
              <w:t>Green</w:t>
            </w:r>
          </w:p>
        </w:tc>
        <w:tc>
          <w:tcPr>
            <w:tcW w:type="dxa" w:w="3216"/>
          </w:tcPr>
          <w:p>
            <w:r>
              <w:rPr>
                <w:color w:val="121212"/>
                <w:sz w:val="20"/>
              </w:rPr>
            </w:r>
            <w:r>
              <w:rPr>
                <w:color w:val="121212"/>
                <w:sz w:val="20"/>
              </w:rPr>
              <w:t>On track</w:t>
            </w:r>
          </w:p>
        </w:tc>
      </w:tr>
      <w:tr>
        <w:tc>
          <w:tcPr>
            <w:tcW w:type="dxa" w:w="3216"/>
          </w:tcPr>
          <w:p>
            <w:r>
              <w:rPr>
                <w:color w:val="121212"/>
                <w:sz w:val="20"/>
              </w:rPr>
            </w:r>
            <w:r>
              <w:rPr>
                <w:color w:val="121212"/>
                <w:sz w:val="20"/>
              </w:rPr>
              <w:t>Rainy Day Fund</w:t>
            </w:r>
          </w:p>
        </w:tc>
        <w:tc>
          <w:tcPr>
            <w:tcW w:type="dxa" w:w="3216"/>
          </w:tcPr>
          <w:p>
            <w:r>
              <w:rPr>
                <w:color w:val="121212"/>
                <w:sz w:val="20"/>
              </w:rPr>
            </w:r>
            <w:r>
              <w:rPr>
                <w:color w:val="121212"/>
                <w:sz w:val="20"/>
              </w:rPr>
              <w:t>Amber</w:t>
            </w:r>
          </w:p>
        </w:tc>
        <w:tc>
          <w:tcPr>
            <w:tcW w:type="dxa" w:w="3216"/>
          </w:tcPr>
          <w:p>
            <w:r>
              <w:rPr>
                <w:color w:val="121212"/>
                <w:sz w:val="20"/>
              </w:rPr>
            </w:r>
            <w:r>
              <w:rPr>
                <w:color w:val="121212"/>
                <w:sz w:val="20"/>
              </w:rPr>
              <w:t>Caution</w:t>
            </w:r>
          </w:p>
        </w:tc>
      </w:tr>
      <w:tr>
        <w:tc>
          <w:tcPr>
            <w:tcW w:type="dxa" w:w="3216"/>
          </w:tcPr>
          <w:p>
            <w:r>
              <w:rPr>
                <w:color w:val="121212"/>
                <w:sz w:val="20"/>
              </w:rPr>
            </w:r>
            <w:r>
              <w:rPr>
                <w:color w:val="121212"/>
                <w:sz w:val="20"/>
              </w:rPr>
              <w:t>DDA Reduction</w:t>
            </w:r>
          </w:p>
        </w:tc>
        <w:tc>
          <w:tcPr>
            <w:tcW w:type="dxa" w:w="3216"/>
          </w:tcPr>
          <w:p>
            <w:r>
              <w:rPr>
                <w:color w:val="121212"/>
                <w:sz w:val="20"/>
              </w:rPr>
            </w:r>
            <w:r>
              <w:rPr>
                <w:color w:val="121212"/>
                <w:sz w:val="20"/>
              </w:rPr>
              <w:t>Red</w:t>
            </w:r>
          </w:p>
        </w:tc>
        <w:tc>
          <w:tcPr>
            <w:tcW w:type="dxa" w:w="3216"/>
          </w:tcPr>
          <w:p>
            <w:r>
              <w:rPr>
                <w:color w:val="121212"/>
                <w:sz w:val="20"/>
              </w:rPr>
            </w:r>
            <w:r>
              <w:rPr>
                <w:color w:val="121212"/>
                <w:sz w:val="20"/>
              </w:rPr>
              <w:t>Worsening</w:t>
            </w:r>
          </w:p>
        </w:tc>
      </w:tr>
    </w:tbl>
    <w:p/>
    <w:p>
      <w:pPr>
        <w:spacing w:before="200" w:after="40"/>
        <w:jc w:val="center"/>
      </w:pPr>
      <w:r>
        <w:rPr>
          <w:rFonts w:ascii="Calibri" w:hAnsi="Calibri"/>
          <w:b w:val="0"/>
          <w:i/>
          <w:color w:val="555555"/>
          <w:sz w:val="20"/>
        </w:rPr>
        <w:t>[ SCREENSHOT PLACEHOLDER ]</w:t>
        <w:br/>
        <w:t>The full six-card KPI row</w:t>
      </w:r>
    </w:p>
    <w:p>
      <w:pPr>
        <w:jc w:val="center"/>
      </w:pPr>
      <w:r>
        <w:rPr>
          <w:rFonts w:ascii="Calibri" w:hAnsi="Calibri"/>
          <w:b w:val="0"/>
          <w:i w:val="0"/>
          <w:color w:val="555555"/>
          <w:sz w:val="18"/>
        </w:rPr>
        <w:t>────────────────────────────────────────────────────────────</w:t>
      </w:r>
    </w:p>
    <w:p>
      <w:pPr>
        <w:keepNext/>
        <w:spacing w:before="240" w:after="120"/>
      </w:pPr>
      <w:r>
        <w:rPr>
          <w:rFonts w:ascii="Calibri" w:hAnsi="Calibri"/>
          <w:b/>
          <w:i w:val="0"/>
          <w:color w:val="802CD7"/>
          <w:sz w:val="26"/>
        </w:rPr>
        <w:t>3.2 Chart carousel</w:t>
      </w:r>
    </w:p>
    <w:p>
      <w:pPr>
        <w:spacing w:after="120" w:line="300" w:lineRule="auto"/>
      </w:pPr>
      <w:r>
        <w:t>Ten interactive visualizations in a horizontal carousel. Each slide has a chart on the left, a commentary sidebar on the right with the insight and source citation, and progress controls at top and bottom.</w:t>
      </w:r>
    </w:p>
    <w:p>
      <w:pPr>
        <w:spacing w:after="120" w:line="300" w:lineRule="auto"/>
      </w:pPr>
      <w:r>
        <w:t>Navigation: drag with the mouse, use ← / → arrow keys, click the dot indicators at the top, or click the numbered tabs at the bottom.</w:t>
      </w:r>
    </w:p>
    <w:tbl>
      <w:tblPr>
        <w:tblStyle w:val="LightGrid-Accent4"/>
        <w:tblW w:type="auto" w:w="0"/>
        <w:tblLook w:firstColumn="1" w:firstRow="1" w:lastColumn="0" w:lastRow="0" w:noHBand="0" w:noVBand="1" w:val="04A0"/>
      </w:tblPr>
      <w:tblGrid>
        <w:gridCol w:w="3216"/>
        <w:gridCol w:w="3216"/>
        <w:gridCol w:w="3216"/>
      </w:tblGrid>
      <w:tr>
        <w:tc>
          <w:tcPr>
            <w:tcW w:type="dxa" w:w="3216"/>
          </w:tcPr>
          <w:p>
            <w:r/>
            <w:r>
              <w:rPr>
                <w:rFonts w:ascii="Calibri" w:hAnsi="Calibri"/>
                <w:b/>
                <w:i w:val="0"/>
                <w:color w:val="211030"/>
                <w:sz w:val="20"/>
              </w:rPr>
              <w:t>#</w:t>
            </w:r>
          </w:p>
        </w:tc>
        <w:tc>
          <w:tcPr>
            <w:tcW w:type="dxa" w:w="3216"/>
          </w:tcPr>
          <w:p>
            <w:r/>
            <w:r>
              <w:rPr>
                <w:rFonts w:ascii="Calibri" w:hAnsi="Calibri"/>
                <w:b/>
                <w:i w:val="0"/>
                <w:color w:val="211030"/>
                <w:sz w:val="20"/>
              </w:rPr>
              <w:t>Title</w:t>
            </w:r>
          </w:p>
        </w:tc>
        <w:tc>
          <w:tcPr>
            <w:tcW w:type="dxa" w:w="3216"/>
          </w:tcPr>
          <w:p>
            <w:r/>
            <w:r>
              <w:rPr>
                <w:rFonts w:ascii="Calibri" w:hAnsi="Calibri"/>
                <w:b/>
                <w:i w:val="0"/>
                <w:color w:val="211030"/>
                <w:sz w:val="20"/>
              </w:rPr>
              <w:t>What it shows</w:t>
            </w:r>
          </w:p>
        </w:tc>
      </w:tr>
      <w:tr>
        <w:tc>
          <w:tcPr>
            <w:tcW w:type="dxa" w:w="3216"/>
          </w:tcPr>
          <w:p>
            <w:r>
              <w:rPr>
                <w:color w:val="121212"/>
                <w:sz w:val="20"/>
              </w:rPr>
            </w:r>
            <w:r>
              <w:rPr>
                <w:color w:val="121212"/>
                <w:sz w:val="20"/>
              </w:rPr>
              <w:t>1</w:t>
            </w:r>
          </w:p>
        </w:tc>
        <w:tc>
          <w:tcPr>
            <w:tcW w:type="dxa" w:w="3216"/>
          </w:tcPr>
          <w:p>
            <w:r>
              <w:rPr>
                <w:color w:val="121212"/>
                <w:sz w:val="20"/>
              </w:rPr>
            </w:r>
            <w:r>
              <w:rPr>
                <w:color w:val="121212"/>
                <w:sz w:val="20"/>
              </w:rPr>
              <w:t>Maryland's Fiscal Journey</w:t>
            </w:r>
          </w:p>
        </w:tc>
        <w:tc>
          <w:tcPr>
            <w:tcW w:type="dxa" w:w="3216"/>
          </w:tcPr>
          <w:p>
            <w:r>
              <w:rPr>
                <w:color w:val="121212"/>
                <w:sz w:val="20"/>
              </w:rPr>
            </w:r>
            <w:r>
              <w:rPr>
                <w:color w:val="121212"/>
                <w:sz w:val="20"/>
              </w:rPr>
              <w:t>Six-year timeline (FY2021–FY2026), each year with a donut and three strategic priorities</w:t>
            </w:r>
          </w:p>
        </w:tc>
      </w:tr>
      <w:tr>
        <w:tc>
          <w:tcPr>
            <w:tcW w:type="dxa" w:w="3216"/>
          </w:tcPr>
          <w:p>
            <w:r>
              <w:rPr>
                <w:color w:val="121212"/>
                <w:sz w:val="20"/>
              </w:rPr>
            </w:r>
            <w:r>
              <w:rPr>
                <w:color w:val="121212"/>
                <w:sz w:val="20"/>
              </w:rPr>
              <w:t>2</w:t>
            </w:r>
          </w:p>
        </w:tc>
        <w:tc>
          <w:tcPr>
            <w:tcW w:type="dxa" w:w="3216"/>
          </w:tcPr>
          <w:p>
            <w:r>
              <w:rPr>
                <w:color w:val="121212"/>
                <w:sz w:val="20"/>
              </w:rPr>
            </w:r>
            <w:r>
              <w:rPr>
                <w:color w:val="121212"/>
                <w:sz w:val="20"/>
              </w:rPr>
              <w:t>Budget Flow: Revenue to Agency</w:t>
            </w:r>
          </w:p>
        </w:tc>
        <w:tc>
          <w:tcPr>
            <w:tcW w:type="dxa" w:w="3216"/>
          </w:tcPr>
          <w:p>
            <w:r>
              <w:rPr>
                <w:color w:val="121212"/>
                <w:sz w:val="20"/>
              </w:rPr>
            </w:r>
            <w:r>
              <w:rPr>
                <w:color w:val="121212"/>
                <w:sz w:val="20"/>
              </w:rPr>
              <w:t>Three-layer Sankey with year toggle (FY2025/26/27) and agency drill-down to top programs</w:t>
            </w:r>
          </w:p>
        </w:tc>
      </w:tr>
      <w:tr>
        <w:tc>
          <w:tcPr>
            <w:tcW w:type="dxa" w:w="3216"/>
          </w:tcPr>
          <w:p>
            <w:r>
              <w:rPr>
                <w:color w:val="121212"/>
                <w:sz w:val="20"/>
              </w:rPr>
            </w:r>
            <w:r>
              <w:rPr>
                <w:color w:val="121212"/>
                <w:sz w:val="20"/>
              </w:rPr>
              <w:t>3</w:t>
            </w:r>
          </w:p>
        </w:tc>
        <w:tc>
          <w:tcPr>
            <w:tcW w:type="dxa" w:w="3216"/>
          </w:tcPr>
          <w:p>
            <w:r>
              <w:rPr>
                <w:color w:val="121212"/>
                <w:sz w:val="20"/>
              </w:rPr>
            </w:r>
            <w:r>
              <w:rPr>
                <w:color w:val="121212"/>
                <w:sz w:val="20"/>
              </w:rPr>
              <w:t>Dept. of Commerce: $27.5M Cut</w:t>
            </w:r>
          </w:p>
        </w:tc>
        <w:tc>
          <w:tcPr>
            <w:tcW w:type="dxa" w:w="3216"/>
          </w:tcPr>
          <w:p>
            <w:r>
              <w:rPr>
                <w:color w:val="121212"/>
                <w:sz w:val="20"/>
              </w:rPr>
            </w:r>
            <w:r>
              <w:rPr>
                <w:color w:val="121212"/>
                <w:sz w:val="20"/>
              </w:rPr>
              <w:t>Bar chart of cuts by program area</w:t>
            </w:r>
          </w:p>
        </w:tc>
      </w:tr>
      <w:tr>
        <w:tc>
          <w:tcPr>
            <w:tcW w:type="dxa" w:w="3216"/>
          </w:tcPr>
          <w:p>
            <w:r>
              <w:rPr>
                <w:color w:val="121212"/>
                <w:sz w:val="20"/>
              </w:rPr>
            </w:r>
            <w:r>
              <w:rPr>
                <w:color w:val="121212"/>
                <w:sz w:val="20"/>
              </w:rPr>
              <w:t>4</w:t>
            </w:r>
          </w:p>
        </w:tc>
        <w:tc>
          <w:tcPr>
            <w:tcW w:type="dxa" w:w="3216"/>
          </w:tcPr>
          <w:p>
            <w:r>
              <w:rPr>
                <w:color w:val="121212"/>
                <w:sz w:val="20"/>
              </w:rPr>
            </w:r>
            <w:r>
              <w:rPr>
                <w:color w:val="121212"/>
                <w:sz w:val="20"/>
              </w:rPr>
              <w:t>One Agency Caused 77¢ of Every Deficit Dollar</w:t>
            </w:r>
          </w:p>
        </w:tc>
        <w:tc>
          <w:tcPr>
            <w:tcW w:type="dxa" w:w="3216"/>
          </w:tcPr>
          <w:p>
            <w:r>
              <w:rPr>
                <w:color w:val="121212"/>
                <w:sz w:val="20"/>
              </w:rPr>
            </w:r>
            <w:r>
              <w:rPr>
                <w:color w:val="121212"/>
                <w:sz w:val="20"/>
              </w:rPr>
              <w:t>MDH share of FY2025 deficiency appropriations</w:t>
            </w:r>
          </w:p>
        </w:tc>
      </w:tr>
      <w:tr>
        <w:tc>
          <w:tcPr>
            <w:tcW w:type="dxa" w:w="3216"/>
          </w:tcPr>
          <w:p>
            <w:r>
              <w:rPr>
                <w:color w:val="121212"/>
                <w:sz w:val="20"/>
              </w:rPr>
            </w:r>
            <w:r>
              <w:rPr>
                <w:color w:val="121212"/>
                <w:sz w:val="20"/>
              </w:rPr>
              <w:t>5</w:t>
            </w:r>
          </w:p>
        </w:tc>
        <w:tc>
          <w:tcPr>
            <w:tcW w:type="dxa" w:w="3216"/>
          </w:tcPr>
          <w:p>
            <w:r>
              <w:rPr>
                <w:color w:val="121212"/>
                <w:sz w:val="20"/>
              </w:rPr>
            </w:r>
            <w:r>
              <w:rPr>
                <w:color w:val="121212"/>
                <w:sz w:val="20"/>
              </w:rPr>
              <w:t>Spending Is Growing 4× Faster Than Revenue</w:t>
            </w:r>
          </w:p>
        </w:tc>
        <w:tc>
          <w:tcPr>
            <w:tcW w:type="dxa" w:w="3216"/>
          </w:tcPr>
          <w:p>
            <w:r>
              <w:rPr>
                <w:color w:val="121212"/>
                <w:sz w:val="20"/>
              </w:rPr>
            </w:r>
            <w:r>
              <w:rPr>
                <w:color w:val="121212"/>
                <w:sz w:val="20"/>
              </w:rPr>
              <w:t>Ten-year revenue vs. expenditure curves plus FY2030 projection</w:t>
            </w:r>
          </w:p>
        </w:tc>
      </w:tr>
      <w:tr>
        <w:tc>
          <w:tcPr>
            <w:tcW w:type="dxa" w:w="3216"/>
          </w:tcPr>
          <w:p>
            <w:r>
              <w:rPr>
                <w:color w:val="121212"/>
                <w:sz w:val="20"/>
              </w:rPr>
            </w:r>
            <w:r>
              <w:rPr>
                <w:color w:val="121212"/>
                <w:sz w:val="20"/>
              </w:rPr>
              <w:t>6</w:t>
            </w:r>
          </w:p>
        </w:tc>
        <w:tc>
          <w:tcPr>
            <w:tcW w:type="dxa" w:w="3216"/>
          </w:tcPr>
          <w:p>
            <w:r>
              <w:rPr>
                <w:color w:val="121212"/>
                <w:sz w:val="20"/>
              </w:rPr>
            </w:r>
            <w:r>
              <w:rPr>
                <w:color w:val="121212"/>
                <w:sz w:val="20"/>
              </w:rPr>
              <w:t>A $65M Cut Creates a ~$1B Compliance Deficit</w:t>
            </w:r>
          </w:p>
        </w:tc>
        <w:tc>
          <w:tcPr>
            <w:tcW w:type="dxa" w:w="3216"/>
          </w:tcPr>
          <w:p>
            <w:r>
              <w:rPr>
                <w:color w:val="121212"/>
                <w:sz w:val="20"/>
              </w:rPr>
            </w:r>
            <w:r>
              <w:rPr>
                <w:color w:val="121212"/>
                <w:sz w:val="20"/>
              </w:rPr>
              <w:t>Blueprint mandate vs. budget trajectory</w:t>
            </w:r>
          </w:p>
        </w:tc>
      </w:tr>
      <w:tr>
        <w:tc>
          <w:tcPr>
            <w:tcW w:type="dxa" w:w="3216"/>
          </w:tcPr>
          <w:p>
            <w:r>
              <w:rPr>
                <w:color w:val="121212"/>
                <w:sz w:val="20"/>
              </w:rPr>
            </w:r>
            <w:r>
              <w:rPr>
                <w:color w:val="121212"/>
                <w:sz w:val="20"/>
              </w:rPr>
              <w:t>7</w:t>
            </w:r>
          </w:p>
        </w:tc>
        <w:tc>
          <w:tcPr>
            <w:tcW w:type="dxa" w:w="3216"/>
          </w:tcPr>
          <w:p>
            <w:r>
              <w:rPr>
                <w:color w:val="121212"/>
                <w:sz w:val="20"/>
              </w:rPr>
            </w:r>
            <w:r>
              <w:rPr>
                <w:color w:val="121212"/>
                <w:sz w:val="20"/>
              </w:rPr>
              <w:t>Federal Cut Calculator (Interactive)</w:t>
            </w:r>
          </w:p>
        </w:tc>
        <w:tc>
          <w:tcPr>
            <w:tcW w:type="dxa" w:w="3216"/>
          </w:tcPr>
          <w:p>
            <w:r>
              <w:rPr>
                <w:color w:val="121212"/>
                <w:sz w:val="20"/>
              </w:rPr>
            </w:r>
            <w:r>
              <w:rPr>
                <w:color w:val="121212"/>
                <w:sz w:val="20"/>
              </w:rPr>
              <w:t>Slider modeling 0–20% federal-funds cut by agency</w:t>
            </w:r>
          </w:p>
        </w:tc>
      </w:tr>
      <w:tr>
        <w:tc>
          <w:tcPr>
            <w:tcW w:type="dxa" w:w="3216"/>
          </w:tcPr>
          <w:p>
            <w:r>
              <w:rPr>
                <w:color w:val="121212"/>
                <w:sz w:val="20"/>
              </w:rPr>
            </w:r>
            <w:r>
              <w:rPr>
                <w:color w:val="121212"/>
                <w:sz w:val="20"/>
              </w:rPr>
              <w:t>8</w:t>
            </w:r>
          </w:p>
        </w:tc>
        <w:tc>
          <w:tcPr>
            <w:tcW w:type="dxa" w:w="3216"/>
          </w:tcPr>
          <w:p>
            <w:r>
              <w:rPr>
                <w:color w:val="121212"/>
                <w:sz w:val="20"/>
              </w:rPr>
            </w:r>
            <w:r>
              <w:rPr>
                <w:color w:val="121212"/>
                <w:sz w:val="20"/>
              </w:rPr>
              <w:t>Maryland's Two Fiscal Safety Nets in Decline</w:t>
            </w:r>
          </w:p>
        </w:tc>
        <w:tc>
          <w:tcPr>
            <w:tcW w:type="dxa" w:w="3216"/>
          </w:tcPr>
          <w:p>
            <w:r>
              <w:rPr>
                <w:color w:val="121212"/>
                <w:sz w:val="20"/>
              </w:rPr>
            </w:r>
            <w:r>
              <w:rPr>
                <w:color w:val="121212"/>
                <w:sz w:val="20"/>
              </w:rPr>
              <w:t>Rainy Day Fund + General Fund trajectory</w:t>
            </w:r>
          </w:p>
        </w:tc>
      </w:tr>
      <w:tr>
        <w:tc>
          <w:tcPr>
            <w:tcW w:type="dxa" w:w="3216"/>
          </w:tcPr>
          <w:p>
            <w:r>
              <w:rPr>
                <w:color w:val="121212"/>
                <w:sz w:val="20"/>
              </w:rPr>
            </w:r>
            <w:r>
              <w:rPr>
                <w:color w:val="121212"/>
                <w:sz w:val="20"/>
              </w:rPr>
              <w:t>9</w:t>
            </w:r>
          </w:p>
        </w:tc>
        <w:tc>
          <w:tcPr>
            <w:tcW w:type="dxa" w:w="3216"/>
          </w:tcPr>
          <w:p>
            <w:r>
              <w:rPr>
                <w:color w:val="121212"/>
                <w:sz w:val="20"/>
              </w:rPr>
            </w:r>
            <w:r>
              <w:rPr>
                <w:color w:val="121212"/>
                <w:sz w:val="20"/>
              </w:rPr>
              <w:t>Health Spending Grew Twice as Fast</w:t>
            </w:r>
          </w:p>
        </w:tc>
        <w:tc>
          <w:tcPr>
            <w:tcW w:type="dxa" w:w="3216"/>
          </w:tcPr>
          <w:p>
            <w:r>
              <w:rPr>
                <w:color w:val="121212"/>
                <w:sz w:val="20"/>
              </w:rPr>
            </w:r>
            <w:r>
              <w:rPr>
                <w:color w:val="121212"/>
                <w:sz w:val="20"/>
              </w:rPr>
              <w:t>MDH 10-year CAGR vs. all other agencies</w:t>
            </w:r>
          </w:p>
        </w:tc>
      </w:tr>
      <w:tr>
        <w:tc>
          <w:tcPr>
            <w:tcW w:type="dxa" w:w="3216"/>
          </w:tcPr>
          <w:p>
            <w:r>
              <w:rPr>
                <w:color w:val="121212"/>
                <w:sz w:val="20"/>
              </w:rPr>
            </w:r>
            <w:r>
              <w:rPr>
                <w:color w:val="121212"/>
                <w:sz w:val="20"/>
              </w:rPr>
              <w:t>10</w:t>
            </w:r>
          </w:p>
        </w:tc>
        <w:tc>
          <w:tcPr>
            <w:tcW w:type="dxa" w:w="3216"/>
          </w:tcPr>
          <w:p>
            <w:r>
              <w:rPr>
                <w:color w:val="121212"/>
                <w:sz w:val="20"/>
              </w:rPr>
            </w:r>
            <w:r>
              <w:rPr>
                <w:color w:val="121212"/>
                <w:sz w:val="20"/>
              </w:rPr>
              <w:t>The Legislature's $1.1B Response</w:t>
            </w:r>
          </w:p>
        </w:tc>
        <w:tc>
          <w:tcPr>
            <w:tcW w:type="dxa" w:w="3216"/>
          </w:tcPr>
          <w:p>
            <w:r>
              <w:rPr>
                <w:color w:val="121212"/>
                <w:sz w:val="20"/>
              </w:rPr>
            </w:r>
            <w:r>
              <w:rPr>
                <w:color w:val="121212"/>
                <w:sz w:val="20"/>
              </w:rPr>
              <w:t>JCR cuts breakdown</w:t>
            </w:r>
          </w:p>
        </w:tc>
      </w:tr>
    </w:tbl>
    <w:p/>
    <w:p>
      <w:pPr>
        <w:spacing w:after="120" w:line="300" w:lineRule="auto"/>
      </w:pPr>
      <w:r>
        <w:t>Every slide has a source line and at least one clickable citation that opens the source PDF at the exact page.</w:t>
      </w:r>
    </w:p>
    <w:p>
      <w:pPr>
        <w:spacing w:before="200" w:after="40"/>
        <w:jc w:val="center"/>
      </w:pPr>
      <w:r>
        <w:rPr>
          <w:rFonts w:ascii="Calibri" w:hAnsi="Calibri"/>
          <w:b w:val="0"/>
          <w:i/>
          <w:color w:val="555555"/>
          <w:sz w:val="20"/>
        </w:rPr>
        <w:t>[ SCREENSHOT PLACEHOLDER ]</w:t>
        <w:br/>
        <w:t>A typical two-column slide (e.g., Slide 5 — Structural Gap) showing the chart, commentary sidebar with source citation</w:t>
      </w:r>
    </w:p>
    <w:p>
      <w:pPr>
        <w:jc w:val="center"/>
      </w:pPr>
      <w:r>
        <w:rPr>
          <w:rFonts w:ascii="Calibri" w:hAnsi="Calibri"/>
          <w:b w:val="0"/>
          <w:i w:val="0"/>
          <w:color w:val="555555"/>
          <w:sz w:val="18"/>
        </w:rPr>
        <w:t>────────────────────────────────────────────────────────────</w:t>
      </w:r>
    </w:p>
    <w:p>
      <w:pPr>
        <w:spacing w:before="200" w:after="40"/>
        <w:jc w:val="center"/>
      </w:pPr>
      <w:r>
        <w:rPr>
          <w:rFonts w:ascii="Calibri" w:hAnsi="Calibri"/>
          <w:b w:val="0"/>
          <w:i/>
          <w:color w:val="555555"/>
          <w:sz w:val="20"/>
        </w:rPr>
        <w:t>[ SCREENSHOT PLACEHOLDER ]</w:t>
        <w:br/>
        <w:t>Slide 2 — Sankey at full width with title and one-line subtext above the chart</w:t>
      </w:r>
    </w:p>
    <w:p>
      <w:pPr>
        <w:jc w:val="center"/>
      </w:pPr>
      <w:r>
        <w:rPr>
          <w:rFonts w:ascii="Calibri" w:hAnsi="Calibri"/>
          <w:b w:val="0"/>
          <w:i w:val="0"/>
          <w:color w:val="555555"/>
          <w:sz w:val="18"/>
        </w:rPr>
        <w:t>────────────────────────────────────────────────────────────</w:t>
      </w:r>
    </w:p>
    <w:p>
      <w:pPr>
        <w:keepNext/>
        <w:spacing w:before="240" w:after="120"/>
      </w:pPr>
      <w:r>
        <w:rPr>
          <w:rFonts w:ascii="Calibri" w:hAnsi="Calibri"/>
          <w:b/>
          <w:i w:val="0"/>
          <w:color w:val="802CD7"/>
          <w:sz w:val="26"/>
        </w:rPr>
        <w:t>3.3 County Budget &amp; Outcomes Map</w:t>
      </w:r>
    </w:p>
    <w:p>
      <w:pPr>
        <w:spacing w:after="120" w:line="300" w:lineRule="auto"/>
      </w:pPr>
      <w:r>
        <w:t>A standalone D3 county choropleth embedded via iframe at the bottom of the home page. The map has two tabs:</w:t>
      </w:r>
    </w:p>
    <w:p>
      <w:pPr>
        <w:pStyle w:val="ListBullet"/>
        <w:spacing w:after="60"/>
      </w:pPr>
      <w:r>
        <w:rPr>
          <w:b/>
        </w:rPr>
        <w:t>Budget Map</w:t>
      </w:r>
      <w:r>
        <w:t xml:space="preserve"> — Choropleth of Maryland's 24 counties across four metrics (Budget, Poverty, Income, Population), with a year slider from FY2015 to FY2026 and an agency filter.</w:t>
      </w:r>
    </w:p>
    <w:p>
      <w:pPr>
        <w:pStyle w:val="ListBullet"/>
        <w:spacing w:after="60"/>
      </w:pPr>
      <w:r>
        <w:rPr>
          <w:b/>
        </w:rPr>
        <w:t>Efficiency Analysis</w:t>
      </w:r>
      <w:r>
        <w:t xml:space="preserve"> — MFR performance trends and agency-vs-spending scatter plots.</w:t>
      </w:r>
    </w:p>
    <w:p>
      <w:pPr>
        <w:spacing w:after="120" w:line="300" w:lineRule="auto"/>
      </w:pPr>
      <w:r>
        <w:t>County allocations are modeled estimates from agency program distributions and Census data, and are labeled as such on the map.</w:t>
      </w:r>
    </w:p>
    <w:p>
      <w:pPr>
        <w:spacing w:before="200" w:after="40"/>
        <w:jc w:val="center"/>
      </w:pPr>
      <w:r>
        <w:rPr>
          <w:rFonts w:ascii="Calibri" w:hAnsi="Calibri"/>
          <w:b w:val="0"/>
          <w:i/>
          <w:color w:val="555555"/>
          <w:sz w:val="20"/>
        </w:rPr>
        <w:t>[ SCREENSHOT PLACEHOLDER ]</w:t>
        <w:br/>
        <w:t>The county map with Maryland counties colored by budget allocation</w:t>
      </w:r>
    </w:p>
    <w:p>
      <w:pPr>
        <w:jc w:val="center"/>
      </w:pPr>
      <w:r>
        <w:rPr>
          <w:rFonts w:ascii="Calibri" w:hAnsi="Calibri"/>
          <w:b w:val="0"/>
          <w:i w:val="0"/>
          <w:color w:val="555555"/>
          <w:sz w:val="18"/>
        </w:rPr>
        <w:t>────────────────────────────────────────────────────────────</w:t>
      </w:r>
    </w:p>
    <w:p>
      <w:pPr>
        <w:keepNext/>
        <w:spacing w:before="240" w:after="120"/>
      </w:pPr>
      <w:r>
        <w:rPr>
          <w:rFonts w:ascii="Calibri" w:hAnsi="Calibri"/>
          <w:b/>
          <w:i w:val="0"/>
          <w:color w:val="802CD7"/>
          <w:sz w:val="26"/>
        </w:rPr>
        <w:t>3.4 Methodology page</w:t>
      </w:r>
    </w:p>
    <w:p>
      <w:pPr>
        <w:spacing w:after="120" w:line="300" w:lineRule="auto"/>
      </w:pPr>
      <w:r>
        <w:t xml:space="preserve">Located at </w:t>
      </w:r>
      <w:r>
        <w:rPr>
          <w:rFonts w:ascii="Consolas" w:hAnsi="Consolas"/>
          <w:color w:val="802CD7"/>
          <w:sz w:val="20"/>
        </w:rPr>
        <w:t>/methodology</w:t>
      </w:r>
      <w:r>
        <w:t>. Documents the cross-document reconciliation methodology, the input → magic box → output pipeline, NXT's five DNA pillars, the NIST AI RMF governance framework, the design decisions behind each of the six problems the tool solves, and the full list of source documents.</w:t>
      </w:r>
    </w:p>
    <w:p>
      <w:pPr>
        <w:spacing w:before="200" w:after="40"/>
        <w:jc w:val="center"/>
      </w:pPr>
      <w:r>
        <w:rPr>
          <w:rFonts w:ascii="Calibri" w:hAnsi="Calibri"/>
          <w:b w:val="0"/>
          <w:i/>
          <w:color w:val="555555"/>
          <w:sz w:val="20"/>
        </w:rPr>
        <w:t>[ SCREENSHOT PLACEHOLDER ]</w:t>
        <w:br/>
        <w:t>The Methodology page hero and pipeline diagram</w:t>
      </w:r>
    </w:p>
    <w:p>
      <w:pPr>
        <w:jc w:val="center"/>
      </w:pPr>
      <w:r>
        <w:rPr>
          <w:rFonts w:ascii="Calibri" w:hAnsi="Calibri"/>
          <w:b w:val="0"/>
          <w:i w:val="0"/>
          <w:color w:val="555555"/>
          <w:sz w:val="18"/>
        </w:rPr>
        <w:t>────────────────────────────────────────────────────────────</w:t>
      </w:r>
    </w:p>
    <w:p>
      <w:pPr>
        <w:keepNext/>
        <w:spacing w:before="240" w:after="120"/>
      </w:pPr>
      <w:r>
        <w:rPr>
          <w:rFonts w:ascii="Calibri" w:hAnsi="Calibri"/>
          <w:b/>
          <w:i w:val="0"/>
          <w:color w:val="802CD7"/>
          <w:sz w:val="26"/>
        </w:rPr>
        <w:t>3.5 Guardrails page</w:t>
      </w:r>
    </w:p>
    <w:p>
      <w:pPr>
        <w:spacing w:after="120" w:line="300" w:lineRule="auto"/>
      </w:pPr>
      <w:r>
        <w:t xml:space="preserve">Located at </w:t>
      </w:r>
      <w:r>
        <w:rPr>
          <w:rFonts w:ascii="Consolas" w:hAnsi="Consolas"/>
          <w:color w:val="802CD7"/>
          <w:sz w:val="20"/>
        </w:rPr>
        <w:t>/guardrails</w:t>
      </w:r>
      <w:r>
        <w:t>. Lists the hard limits the tool will not cross (no invented data, no projections beyond FY2030, no political answers, no hidden uncertainty, no stripped context, no personalized actors) and the four commitments every release is held to.</w:t>
      </w:r>
    </w:p>
    <w:p>
      <w:pPr>
        <w:spacing w:before="200" w:after="40"/>
        <w:jc w:val="center"/>
      </w:pPr>
      <w:r>
        <w:rPr>
          <w:rFonts w:ascii="Calibri" w:hAnsi="Calibri"/>
          <w:b w:val="0"/>
          <w:i/>
          <w:color w:val="555555"/>
          <w:sz w:val="20"/>
        </w:rPr>
        <w:t>[ SCREENSHOT PLACEHOLDER ]</w:t>
        <w:br/>
        <w:t>The Guardrails page hero and the hard-limits grid</w:t>
      </w:r>
    </w:p>
    <w:p>
      <w:pPr>
        <w:jc w:val="center"/>
      </w:pPr>
      <w:r>
        <w:rPr>
          <w:rFonts w:ascii="Calibri" w:hAnsi="Calibri"/>
          <w:b w:val="0"/>
          <w:i w:val="0"/>
          <w:color w:val="555555"/>
          <w:sz w:val="18"/>
        </w:rPr>
        <w:t>────────────────────────────────────────────────────────────</w:t>
      </w:r>
    </w:p>
    <w:p>
      <w:pPr>
        <w:jc w:val="center"/>
      </w:pPr>
      <w:r>
        <w:rPr>
          <w:rFonts w:ascii="Calibri" w:hAnsi="Calibri"/>
          <w:b w:val="0"/>
          <w:i w:val="0"/>
          <w:color w:val="555555"/>
          <w:sz w:val="18"/>
        </w:rPr>
        <w:t>──────────────────────────────────────────────────</w:t>
      </w:r>
    </w:p>
    <w:p>
      <w:pPr>
        <w:keepNext/>
        <w:spacing w:before="240" w:after="120"/>
      </w:pPr>
      <w:r>
        <w:rPr>
          <w:rFonts w:ascii="Calibri" w:hAnsi="Calibri"/>
          <w:b/>
          <w:i w:val="0"/>
          <w:color w:val="6321A5"/>
          <w:sz w:val="32"/>
        </w:rPr>
        <w:t>4. Deep-Dive Features</w:t>
      </w:r>
    </w:p>
    <w:p>
      <w:pPr>
        <w:spacing w:after="120" w:line="300" w:lineRule="auto"/>
      </w:pPr>
      <w:r>
        <w:t xml:space="preserve">The Deep-Dive lives at </w:t>
      </w:r>
      <w:r>
        <w:rPr>
          <w:rFonts w:ascii="Consolas" w:hAnsi="Consolas"/>
          <w:color w:val="802CD7"/>
          <w:sz w:val="20"/>
        </w:rPr>
        <w:t>/deep-dive/*</w:t>
      </w:r>
      <w:r>
        <w:t xml:space="preserve"> and provides agency- and program-level exploration of Maryland's budget across FY2017–FY2027.</w:t>
      </w:r>
    </w:p>
    <w:p>
      <w:pPr>
        <w:keepNext/>
        <w:spacing w:before="240" w:after="120"/>
      </w:pPr>
      <w:r>
        <w:rPr>
          <w:rFonts w:ascii="Calibri" w:hAnsi="Calibri"/>
          <w:b/>
          <w:i w:val="0"/>
          <w:color w:val="802CD7"/>
          <w:sz w:val="26"/>
        </w:rPr>
        <w:t>4.1 Budget Office</w:t>
      </w:r>
    </w:p>
    <w:p>
      <w:pPr>
        <w:spacing w:after="120" w:line="300" w:lineRule="auto"/>
      </w:pPr>
      <w:r>
        <w:rPr>
          <w:rFonts w:ascii="Consolas" w:hAnsi="Consolas"/>
          <w:color w:val="802CD7"/>
          <w:sz w:val="20"/>
        </w:rPr>
        <w:t>/deep-dive/budget-office</w:t>
      </w:r>
      <w:r>
        <w:t xml:space="preserve"> — the landing page of the Deep-Dive. High-level fiscal overview with:</w:t>
      </w:r>
    </w:p>
    <w:p>
      <w:pPr>
        <w:pStyle w:val="ListBullet"/>
        <w:spacing w:after="60"/>
      </w:pPr>
      <w:r>
        <w:t>Fund composition (General / Special / Federal) over time</w:t>
      </w:r>
    </w:p>
    <w:p>
      <w:pPr>
        <w:pStyle w:val="ListBullet"/>
        <w:spacing w:after="60"/>
      </w:pPr>
      <w:r>
        <w:t>Top agencies by budget with year-over-year trend lines</w:t>
      </w:r>
    </w:p>
    <w:p>
      <w:pPr>
        <w:pStyle w:val="ListBullet"/>
        <w:spacing w:after="60"/>
      </w:pPr>
      <w:r>
        <w:t>Filterable agency table covering 80+ agencies across three fiscal years</w:t>
      </w:r>
    </w:p>
    <w:p>
      <w:pPr>
        <w:pStyle w:val="ListBullet"/>
        <w:spacing w:after="60"/>
      </w:pPr>
      <w:r>
        <w:t>Click any agency row to drill into its dedicated page with program-level breakdown</w:t>
      </w:r>
    </w:p>
    <w:p>
      <w:pPr>
        <w:spacing w:before="200" w:after="40"/>
        <w:jc w:val="center"/>
      </w:pPr>
      <w:r>
        <w:rPr>
          <w:rFonts w:ascii="Calibri" w:hAnsi="Calibri"/>
          <w:b w:val="0"/>
          <w:i/>
          <w:color w:val="555555"/>
          <w:sz w:val="20"/>
        </w:rPr>
        <w:t>[ SCREENSHOT PLACEHOLDER ]</w:t>
        <w:br/>
        <w:t>Deep-Dive Budget Office landing page</w:t>
      </w:r>
    </w:p>
    <w:p>
      <w:pPr>
        <w:jc w:val="center"/>
      </w:pPr>
      <w:r>
        <w:rPr>
          <w:rFonts w:ascii="Calibri" w:hAnsi="Calibri"/>
          <w:b w:val="0"/>
          <w:i w:val="0"/>
          <w:color w:val="555555"/>
          <w:sz w:val="18"/>
        </w:rPr>
        <w:t>────────────────────────────────────────────────────────────</w:t>
      </w:r>
    </w:p>
    <w:p>
      <w:pPr>
        <w:keepNext/>
        <w:spacing w:before="240" w:after="120"/>
      </w:pPr>
      <w:r>
        <w:rPr>
          <w:rFonts w:ascii="Calibri" w:hAnsi="Calibri"/>
          <w:b/>
          <w:i w:val="0"/>
          <w:color w:val="802CD7"/>
          <w:sz w:val="26"/>
        </w:rPr>
        <w:t>4.2 Technology</w:t>
      </w:r>
    </w:p>
    <w:p>
      <w:pPr>
        <w:spacing w:after="120" w:line="300" w:lineRule="auto"/>
      </w:pPr>
      <w:r>
        <w:rPr>
          <w:rFonts w:ascii="Consolas" w:hAnsi="Consolas"/>
          <w:color w:val="802CD7"/>
          <w:sz w:val="20"/>
        </w:rPr>
        <w:t>/deep-dive/technology</w:t>
      </w:r>
      <w:r>
        <w:t xml:space="preserve"> — IT spend analysis classified into TBM v5.0.1 cost pools and IT towers. Shows:</w:t>
      </w:r>
    </w:p>
    <w:p>
      <w:pPr>
        <w:pStyle w:val="ListBullet"/>
        <w:spacing w:after="60"/>
      </w:pPr>
      <w:r>
        <w:t>IT spend by agency</w:t>
      </w:r>
    </w:p>
    <w:p>
      <w:pPr>
        <w:pStyle w:val="ListBullet"/>
        <w:spacing w:after="60"/>
      </w:pPr>
      <w:r>
        <w:t>IT tower composition over time (Compute, Network, Storage, Application Support, etc.)</w:t>
      </w:r>
    </w:p>
    <w:p>
      <w:pPr>
        <w:pStyle w:val="ListBullet"/>
        <w:spacing w:after="60"/>
      </w:pPr>
      <w:r>
        <w:t>Agency-level IT drill-downs</w:t>
      </w:r>
    </w:p>
    <w:p>
      <w:pPr>
        <w:spacing w:after="120" w:line="300" w:lineRule="auto"/>
      </w:pPr>
      <w:r>
        <w:t>Classification is performed by Claude-powered agents that map budget line items into TBM cost pools and IT towers. The classifier output is cached so the same input produces the same classification on every run.</w:t>
      </w:r>
    </w:p>
    <w:p>
      <w:pPr>
        <w:spacing w:before="200" w:after="40"/>
        <w:jc w:val="center"/>
      </w:pPr>
      <w:r>
        <w:rPr>
          <w:rFonts w:ascii="Calibri" w:hAnsi="Calibri"/>
          <w:b w:val="0"/>
          <w:i/>
          <w:color w:val="555555"/>
          <w:sz w:val="20"/>
        </w:rPr>
        <w:t>[ SCREENSHOT PLACEHOLDER ]</w:t>
        <w:br/>
        <w:t>Deep-Dive Technology page with tower composition chart</w:t>
      </w:r>
    </w:p>
    <w:p>
      <w:pPr>
        <w:jc w:val="center"/>
      </w:pPr>
      <w:r>
        <w:rPr>
          <w:rFonts w:ascii="Calibri" w:hAnsi="Calibri"/>
          <w:b w:val="0"/>
          <w:i w:val="0"/>
          <w:color w:val="555555"/>
          <w:sz w:val="18"/>
        </w:rPr>
        <w:t>────────────────────────────────────────────────────────────</w:t>
      </w:r>
    </w:p>
    <w:p>
      <w:pPr>
        <w:keepNext/>
        <w:spacing w:before="240" w:after="120"/>
      </w:pPr>
      <w:r>
        <w:rPr>
          <w:rFonts w:ascii="Calibri" w:hAnsi="Calibri"/>
          <w:b/>
          <w:i w:val="0"/>
          <w:color w:val="802CD7"/>
          <w:sz w:val="26"/>
        </w:rPr>
        <w:t>4.3 Variance Analysis</w:t>
      </w:r>
    </w:p>
    <w:p>
      <w:pPr>
        <w:spacing w:after="120" w:line="300" w:lineRule="auto"/>
      </w:pPr>
      <w:r>
        <w:rPr>
          <w:rFonts w:ascii="Consolas" w:hAnsi="Consolas"/>
          <w:color w:val="802CD7"/>
          <w:sz w:val="20"/>
        </w:rPr>
        <w:t>/deep-dive/variance-analysis</w:t>
      </w:r>
      <w:r>
        <w:t xml:space="preserve"> — year-over-year change detection. The user picks two fiscal years and a percentage threshold, and the page highlights agencies whose spending changed by more than the threshold. Shows top movers (up and down), new and eliminated programs, and shifts in fund composition.</w:t>
      </w:r>
    </w:p>
    <w:p>
      <w:pPr>
        <w:spacing w:before="200" w:after="40"/>
        <w:jc w:val="center"/>
      </w:pPr>
      <w:r>
        <w:rPr>
          <w:rFonts w:ascii="Calibri" w:hAnsi="Calibri"/>
          <w:b w:val="0"/>
          <w:i/>
          <w:color w:val="555555"/>
          <w:sz w:val="20"/>
        </w:rPr>
        <w:t>[ SCREENSHOT PLACEHOLDER ]</w:t>
        <w:br/>
        <w:t>Variance Analysis page showing top movers</w:t>
      </w:r>
    </w:p>
    <w:p>
      <w:pPr>
        <w:jc w:val="center"/>
      </w:pPr>
      <w:r>
        <w:rPr>
          <w:rFonts w:ascii="Calibri" w:hAnsi="Calibri"/>
          <w:b w:val="0"/>
          <w:i w:val="0"/>
          <w:color w:val="555555"/>
          <w:sz w:val="18"/>
        </w:rPr>
        <w:t>────────────────────────────────────────────────────────────</w:t>
      </w:r>
    </w:p>
    <w:p>
      <w:pPr>
        <w:keepNext/>
        <w:spacing w:before="240" w:after="120"/>
      </w:pPr>
      <w:r>
        <w:rPr>
          <w:rFonts w:ascii="Calibri" w:hAnsi="Calibri"/>
          <w:b/>
          <w:i w:val="0"/>
          <w:color w:val="802CD7"/>
          <w:sz w:val="26"/>
        </w:rPr>
        <w:t>4.4 Anomaly Detection</w:t>
      </w:r>
    </w:p>
    <w:p>
      <w:pPr>
        <w:spacing w:after="120" w:line="300" w:lineRule="auto"/>
      </w:pPr>
      <w:r>
        <w:rPr>
          <w:rFonts w:ascii="Consolas" w:hAnsi="Consolas"/>
          <w:color w:val="802CD7"/>
          <w:sz w:val="20"/>
        </w:rPr>
        <w:t>/deep-dive/anomaly-detection</w:t>
      </w:r>
      <w:r>
        <w:t xml:space="preserve"> — statistical outlier identification. Flags spending spikes and drops above a configurable standard-deviation threshold. Covers 386 detected anomalies across 72 affected agencies in the current dataset.</w:t>
      </w:r>
    </w:p>
    <w:p>
      <w:pPr>
        <w:spacing w:before="200" w:after="40"/>
        <w:jc w:val="center"/>
      </w:pPr>
      <w:r>
        <w:rPr>
          <w:rFonts w:ascii="Calibri" w:hAnsi="Calibri"/>
          <w:b w:val="0"/>
          <w:i/>
          <w:color w:val="555555"/>
          <w:sz w:val="20"/>
        </w:rPr>
        <w:t>[ SCREENSHOT PLACEHOLDER ]</w:t>
        <w:br/>
        <w:t>Anomaly Detection page with flagged outliers</w:t>
      </w:r>
    </w:p>
    <w:p>
      <w:pPr>
        <w:jc w:val="center"/>
      </w:pPr>
      <w:r>
        <w:rPr>
          <w:rFonts w:ascii="Calibri" w:hAnsi="Calibri"/>
          <w:b w:val="0"/>
          <w:i w:val="0"/>
          <w:color w:val="555555"/>
          <w:sz w:val="18"/>
        </w:rPr>
        <w:t>────────────────────────────────────────────────────────────</w:t>
      </w:r>
    </w:p>
    <w:p>
      <w:pPr>
        <w:keepNext/>
        <w:spacing w:before="240" w:after="120"/>
      </w:pPr>
      <w:r>
        <w:rPr>
          <w:rFonts w:ascii="Calibri" w:hAnsi="Calibri"/>
          <w:b/>
          <w:i w:val="0"/>
          <w:color w:val="802CD7"/>
          <w:sz w:val="26"/>
        </w:rPr>
        <w:t>4.5 IT Development Projects (MITDP)</w:t>
      </w:r>
    </w:p>
    <w:p>
      <w:pPr>
        <w:spacing w:after="120" w:line="300" w:lineRule="auto"/>
      </w:pPr>
      <w:r>
        <w:rPr>
          <w:rFonts w:ascii="Consolas" w:hAnsi="Consolas"/>
          <w:color w:val="802CD7"/>
          <w:sz w:val="20"/>
        </w:rPr>
        <w:t>/deep-dive/it-projects</w:t>
      </w:r>
      <w:r>
        <w:t xml:space="preserve"> — explorer for Maryland's IT development projects from the MITDP register. Each project has a dedicated page with funding trend, milestone status, and budget composition.</w:t>
      </w:r>
    </w:p>
    <w:p>
      <w:pPr>
        <w:spacing w:before="200" w:after="40"/>
        <w:jc w:val="center"/>
      </w:pPr>
      <w:r>
        <w:rPr>
          <w:rFonts w:ascii="Calibri" w:hAnsi="Calibri"/>
          <w:b w:val="0"/>
          <w:i/>
          <w:color w:val="555555"/>
          <w:sz w:val="20"/>
        </w:rPr>
        <w:t>[ SCREENSHOT PLACEHOLDER ]</w:t>
        <w:br/>
        <w:t>IT Projects landing page</w:t>
      </w:r>
    </w:p>
    <w:p>
      <w:pPr>
        <w:jc w:val="center"/>
      </w:pPr>
      <w:r>
        <w:rPr>
          <w:rFonts w:ascii="Calibri" w:hAnsi="Calibri"/>
          <w:b w:val="0"/>
          <w:i w:val="0"/>
          <w:color w:val="555555"/>
          <w:sz w:val="18"/>
        </w:rPr>
        <w:t>────────────────────────────────────────────────────────────</w:t>
      </w:r>
    </w:p>
    <w:p>
      <w:pPr>
        <w:jc w:val="center"/>
      </w:pPr>
      <w:r>
        <w:rPr>
          <w:rFonts w:ascii="Calibri" w:hAnsi="Calibri"/>
          <w:b w:val="0"/>
          <w:i w:val="0"/>
          <w:color w:val="555555"/>
          <w:sz w:val="18"/>
        </w:rPr>
        <w:t>──────────────────────────────────────────────────</w:t>
      </w:r>
    </w:p>
    <w:p>
      <w:pPr>
        <w:keepNext/>
        <w:spacing w:before="240" w:after="120"/>
      </w:pPr>
      <w:r>
        <w:rPr>
          <w:rFonts w:ascii="Calibri" w:hAnsi="Calibri"/>
          <w:b/>
          <w:i w:val="0"/>
          <w:color w:val="6321A5"/>
          <w:sz w:val="32"/>
        </w:rPr>
        <w:t>5. Data Sources</w:t>
      </w:r>
    </w:p>
    <w:p>
      <w:pPr>
        <w:spacing w:after="120" w:line="300" w:lineRule="auto"/>
      </w:pPr>
      <w:r>
        <w:t>All data on the home page comes from four official Maryland government publication types. No third-party estimates or news figures appear on the dashboard.</w:t>
      </w:r>
    </w:p>
    <w:tbl>
      <w:tblPr>
        <w:tblStyle w:val="LightGrid-Accent4"/>
        <w:tblW w:type="auto" w:w="0"/>
        <w:tblLook w:firstColumn="1" w:firstRow="1" w:lastColumn="0" w:lastRow="0" w:noHBand="0" w:noVBand="1" w:val="04A0"/>
      </w:tblPr>
      <w:tblGrid>
        <w:gridCol w:w="3216"/>
        <w:gridCol w:w="3216"/>
        <w:gridCol w:w="3216"/>
      </w:tblGrid>
      <w:tr>
        <w:tc>
          <w:tcPr>
            <w:tcW w:type="dxa" w:w="3216"/>
          </w:tcPr>
          <w:p>
            <w:r/>
            <w:r>
              <w:rPr>
                <w:rFonts w:ascii="Calibri" w:hAnsi="Calibri"/>
                <w:b/>
                <w:i w:val="0"/>
                <w:color w:val="211030"/>
                <w:sz w:val="20"/>
              </w:rPr>
              <w:t>Document</w:t>
            </w:r>
          </w:p>
        </w:tc>
        <w:tc>
          <w:tcPr>
            <w:tcW w:type="dxa" w:w="3216"/>
          </w:tcPr>
          <w:p>
            <w:r/>
            <w:r>
              <w:rPr>
                <w:rFonts w:ascii="Calibri" w:hAnsi="Calibri"/>
                <w:b/>
                <w:i w:val="0"/>
                <w:color w:val="211030"/>
                <w:sz w:val="20"/>
              </w:rPr>
              <w:t>Years used</w:t>
            </w:r>
          </w:p>
        </w:tc>
        <w:tc>
          <w:tcPr>
            <w:tcW w:type="dxa" w:w="3216"/>
          </w:tcPr>
          <w:p>
            <w:r/>
            <w:r>
              <w:rPr>
                <w:rFonts w:ascii="Calibri" w:hAnsi="Calibri"/>
                <w:b/>
                <w:i w:val="0"/>
                <w:color w:val="211030"/>
                <w:sz w:val="20"/>
              </w:rPr>
              <w:t>Anchors</w:t>
            </w:r>
          </w:p>
        </w:tc>
      </w:tr>
      <w:tr>
        <w:tc>
          <w:tcPr>
            <w:tcW w:type="dxa" w:w="3216"/>
          </w:tcPr>
          <w:p>
            <w:r>
              <w:rPr>
                <w:color w:val="121212"/>
                <w:sz w:val="20"/>
              </w:rPr>
            </w:r>
            <w:r>
              <w:rPr>
                <w:color w:val="121212"/>
                <w:sz w:val="20"/>
              </w:rPr>
              <w:t>ACFR (Annual Comprehensive Financial Report)</w:t>
            </w:r>
          </w:p>
        </w:tc>
        <w:tc>
          <w:tcPr>
            <w:tcW w:type="dxa" w:w="3216"/>
          </w:tcPr>
          <w:p>
            <w:r>
              <w:rPr>
                <w:color w:val="121212"/>
                <w:sz w:val="20"/>
              </w:rPr>
            </w:r>
            <w:r>
              <w:rPr>
                <w:color w:val="121212"/>
                <w:sz w:val="20"/>
              </w:rPr>
              <w:t>2023–2025</w:t>
            </w:r>
          </w:p>
        </w:tc>
        <w:tc>
          <w:tcPr>
            <w:tcW w:type="dxa" w:w="3216"/>
          </w:tcPr>
          <w:p>
            <w:r>
              <w:rPr>
                <w:color w:val="121212"/>
                <w:sz w:val="20"/>
              </w:rPr>
            </w:r>
            <w:r>
              <w:rPr>
                <w:color w:val="121212"/>
                <w:sz w:val="20"/>
              </w:rPr>
              <w:t>Reserve balances, federal exposure, MDH spending, Blueprint baseline, structural gap</w:t>
            </w:r>
          </w:p>
        </w:tc>
      </w:tr>
      <w:tr>
        <w:tc>
          <w:tcPr>
            <w:tcW w:type="dxa" w:w="3216"/>
          </w:tcPr>
          <w:p>
            <w:r>
              <w:rPr>
                <w:color w:val="121212"/>
                <w:sz w:val="20"/>
              </w:rPr>
            </w:r>
            <w:r>
              <w:rPr>
                <w:color w:val="121212"/>
                <w:sz w:val="20"/>
              </w:rPr>
              <w:t>JCR (Joint Chairmen's Report)</w:t>
            </w:r>
          </w:p>
        </w:tc>
        <w:tc>
          <w:tcPr>
            <w:tcW w:type="dxa" w:w="3216"/>
          </w:tcPr>
          <w:p>
            <w:r>
              <w:rPr>
                <w:color w:val="121212"/>
                <w:sz w:val="20"/>
              </w:rPr>
            </w:r>
            <w:r>
              <w:rPr>
                <w:color w:val="121212"/>
                <w:sz w:val="20"/>
              </w:rPr>
              <w:t>2025</w:t>
            </w:r>
          </w:p>
        </w:tc>
        <w:tc>
          <w:tcPr>
            <w:tcW w:type="dxa" w:w="3216"/>
          </w:tcPr>
          <w:p>
            <w:r>
              <w:rPr>
                <w:color w:val="121212"/>
                <w:sz w:val="20"/>
              </w:rPr>
            </w:r>
            <w:r>
              <w:rPr>
                <w:color w:val="121212"/>
                <w:sz w:val="20"/>
              </w:rPr>
              <w:t>Agency cuts, Commerce cut, Blueprint legislative analysis</w:t>
            </w:r>
          </w:p>
        </w:tc>
      </w:tr>
      <w:tr>
        <w:tc>
          <w:tcPr>
            <w:tcW w:type="dxa" w:w="3216"/>
          </w:tcPr>
          <w:p>
            <w:r>
              <w:rPr>
                <w:color w:val="121212"/>
                <w:sz w:val="20"/>
              </w:rPr>
            </w:r>
            <w:r>
              <w:rPr>
                <w:color w:val="121212"/>
                <w:sz w:val="20"/>
              </w:rPr>
              <w:t>MFR (Monthly Fiscal Report)</w:t>
            </w:r>
          </w:p>
        </w:tc>
        <w:tc>
          <w:tcPr>
            <w:tcW w:type="dxa" w:w="3216"/>
          </w:tcPr>
          <w:p>
            <w:r>
              <w:rPr>
                <w:color w:val="121212"/>
                <w:sz w:val="20"/>
              </w:rPr>
            </w:r>
            <w:r>
              <w:rPr>
                <w:color w:val="121212"/>
                <w:sz w:val="20"/>
              </w:rPr>
              <w:t>2015–2026</w:t>
            </w:r>
          </w:p>
        </w:tc>
        <w:tc>
          <w:tcPr>
            <w:tcW w:type="dxa" w:w="3216"/>
          </w:tcPr>
          <w:p>
            <w:r>
              <w:rPr>
                <w:color w:val="121212"/>
                <w:sz w:val="20"/>
              </w:rPr>
            </w:r>
            <w:r>
              <w:rPr>
                <w:color w:val="121212"/>
                <w:sz w:val="20"/>
              </w:rPr>
              <w:t>Executive in-year tracking, agency performance</w:t>
            </w:r>
          </w:p>
        </w:tc>
      </w:tr>
      <w:tr>
        <w:tc>
          <w:tcPr>
            <w:tcW w:type="dxa" w:w="3216"/>
          </w:tcPr>
          <w:p>
            <w:r>
              <w:rPr>
                <w:color w:val="121212"/>
                <w:sz w:val="20"/>
              </w:rPr>
            </w:r>
            <w:r>
              <w:rPr>
                <w:color w:val="121212"/>
                <w:sz w:val="20"/>
              </w:rPr>
              <w:t>DBM Operating Budget Books</w:t>
            </w:r>
          </w:p>
        </w:tc>
        <w:tc>
          <w:tcPr>
            <w:tcW w:type="dxa" w:w="3216"/>
          </w:tcPr>
          <w:p>
            <w:r>
              <w:rPr>
                <w:color w:val="121212"/>
                <w:sz w:val="20"/>
              </w:rPr>
            </w:r>
            <w:r>
              <w:rPr>
                <w:color w:val="121212"/>
                <w:sz w:val="20"/>
              </w:rPr>
              <w:t>FY2026, FY2027</w:t>
            </w:r>
          </w:p>
        </w:tc>
        <w:tc>
          <w:tcPr>
            <w:tcW w:type="dxa" w:w="3216"/>
          </w:tcPr>
          <w:p>
            <w:r>
              <w:rPr>
                <w:color w:val="121212"/>
                <w:sz w:val="20"/>
              </w:rPr>
            </w:r>
            <w:r>
              <w:rPr>
                <w:color w:val="121212"/>
                <w:sz w:val="20"/>
              </w:rPr>
              <w:t>Proposed budget, fund allocations, deficiency schedule</w:t>
            </w:r>
          </w:p>
        </w:tc>
      </w:tr>
    </w:tbl>
    <w:p/>
    <w:p>
      <w:pPr>
        <w:spacing w:after="120" w:line="300" w:lineRule="auto"/>
      </w:pPr>
      <w:r>
        <w:t>The Deep-Dive additionally pulls from:</w:t>
      </w:r>
    </w:p>
    <w:p>
      <w:pPr>
        <w:pStyle w:val="ListBullet"/>
        <w:spacing w:after="60"/>
      </w:pPr>
      <w:r>
        <w:t>The DBM open data portal (live agency-level appropriations API)</w:t>
      </w:r>
    </w:p>
    <w:p>
      <w:pPr>
        <w:pStyle w:val="ListBullet"/>
        <w:spacing w:after="60"/>
      </w:pPr>
      <w:r>
        <w:t>State aid to local governments disclosure files</w:t>
      </w:r>
    </w:p>
    <w:p>
      <w:pPr>
        <w:pStyle w:val="ListBullet"/>
        <w:spacing w:after="60"/>
      </w:pPr>
      <w:r>
        <w:t>The MITDP project register</w:t>
      </w:r>
    </w:p>
    <w:p>
      <w:pPr>
        <w:jc w:val="center"/>
      </w:pPr>
      <w:r>
        <w:rPr>
          <w:rFonts w:ascii="Calibri" w:hAnsi="Calibri"/>
          <w:b w:val="0"/>
          <w:i w:val="0"/>
          <w:color w:val="555555"/>
          <w:sz w:val="18"/>
        </w:rPr>
        <w:t>──────────────────────────────────────────────────</w:t>
      </w:r>
    </w:p>
    <w:p>
      <w:pPr>
        <w:keepNext/>
        <w:spacing w:before="240" w:after="120"/>
      </w:pPr>
      <w:r>
        <w:rPr>
          <w:rFonts w:ascii="Calibri" w:hAnsi="Calibri"/>
          <w:b/>
          <w:i w:val="0"/>
          <w:color w:val="6321A5"/>
          <w:sz w:val="32"/>
        </w:rPr>
        <w:t>6. Setting Up the Home Page Locally</w:t>
      </w:r>
    </w:p>
    <w:p>
      <w:pPr>
        <w:spacing w:after="120" w:line="300" w:lineRule="auto"/>
      </w:pPr>
      <w:r>
        <w:t>This section walks through running the home page on your own computer from scratch.</w:t>
      </w:r>
    </w:p>
    <w:p>
      <w:pPr>
        <w:keepNext/>
        <w:spacing w:before="240" w:after="120"/>
      </w:pPr>
      <w:r>
        <w:rPr>
          <w:rFonts w:ascii="Calibri" w:hAnsi="Calibri"/>
          <w:b/>
          <w:i w:val="0"/>
          <w:color w:val="802CD7"/>
          <w:sz w:val="26"/>
        </w:rPr>
        <w:t>6.1 What you need installed</w:t>
      </w:r>
    </w:p>
    <w:tbl>
      <w:tblPr>
        <w:tblStyle w:val="LightGrid-Accent4"/>
        <w:tblW w:type="auto" w:w="0"/>
        <w:tblLook w:firstColumn="1" w:firstRow="1" w:lastColumn="0" w:lastRow="0" w:noHBand="0" w:noVBand="1" w:val="04A0"/>
      </w:tblPr>
      <w:tblGrid>
        <w:gridCol w:w="3216"/>
        <w:gridCol w:w="3216"/>
        <w:gridCol w:w="3216"/>
      </w:tblGrid>
      <w:tr>
        <w:tc>
          <w:tcPr>
            <w:tcW w:type="dxa" w:w="3216"/>
          </w:tcPr>
          <w:p>
            <w:r/>
            <w:r>
              <w:rPr>
                <w:rFonts w:ascii="Calibri" w:hAnsi="Calibri"/>
                <w:b/>
                <w:i w:val="0"/>
                <w:color w:val="211030"/>
                <w:sz w:val="20"/>
              </w:rPr>
              <w:t>Tool</w:t>
            </w:r>
          </w:p>
        </w:tc>
        <w:tc>
          <w:tcPr>
            <w:tcW w:type="dxa" w:w="3216"/>
          </w:tcPr>
          <w:p>
            <w:r/>
            <w:r>
              <w:rPr>
                <w:rFonts w:ascii="Calibri" w:hAnsi="Calibri"/>
                <w:b/>
                <w:i w:val="0"/>
                <w:color w:val="211030"/>
                <w:sz w:val="20"/>
              </w:rPr>
              <w:t>Version</w:t>
            </w:r>
          </w:p>
        </w:tc>
        <w:tc>
          <w:tcPr>
            <w:tcW w:type="dxa" w:w="3216"/>
          </w:tcPr>
          <w:p>
            <w:r/>
            <w:r>
              <w:rPr>
                <w:rFonts w:ascii="Calibri" w:hAnsi="Calibri"/>
                <w:b/>
                <w:i w:val="0"/>
                <w:color w:val="211030"/>
                <w:sz w:val="20"/>
              </w:rPr>
              <w:t>Where to get it</w:t>
            </w:r>
          </w:p>
        </w:tc>
      </w:tr>
      <w:tr>
        <w:tc>
          <w:tcPr>
            <w:tcW w:type="dxa" w:w="3216"/>
          </w:tcPr>
          <w:p>
            <w:r>
              <w:rPr>
                <w:color w:val="121212"/>
                <w:sz w:val="20"/>
              </w:rPr>
            </w:r>
            <w:r>
              <w:rPr>
                <w:color w:val="121212"/>
                <w:sz w:val="20"/>
              </w:rPr>
              <w:t>Node.js</w:t>
            </w:r>
          </w:p>
        </w:tc>
        <w:tc>
          <w:tcPr>
            <w:tcW w:type="dxa" w:w="3216"/>
          </w:tcPr>
          <w:p>
            <w:r>
              <w:rPr>
                <w:color w:val="121212"/>
                <w:sz w:val="20"/>
              </w:rPr>
            </w:r>
            <w:r>
              <w:rPr>
                <w:color w:val="121212"/>
                <w:sz w:val="20"/>
              </w:rPr>
              <w:t>20 or newer</w:t>
            </w:r>
          </w:p>
        </w:tc>
        <w:tc>
          <w:tcPr>
            <w:tcW w:type="dxa" w:w="3216"/>
          </w:tcPr>
          <w:p>
            <w:r>
              <w:rPr>
                <w:color w:val="121212"/>
                <w:sz w:val="20"/>
              </w:rPr>
            </w:r>
            <w:r>
              <w:rPr>
                <w:color w:val="121212"/>
                <w:sz w:val="20"/>
              </w:rPr>
              <w:t>https://nodejs.org</w:t>
            </w:r>
          </w:p>
        </w:tc>
      </w:tr>
      <w:tr>
        <w:tc>
          <w:tcPr>
            <w:tcW w:type="dxa" w:w="3216"/>
          </w:tcPr>
          <w:p>
            <w:r>
              <w:rPr>
                <w:color w:val="121212"/>
                <w:sz w:val="20"/>
              </w:rPr>
            </w:r>
            <w:r>
              <w:rPr>
                <w:color w:val="121212"/>
                <w:sz w:val="20"/>
              </w:rPr>
              <w:t>Git</w:t>
            </w:r>
          </w:p>
        </w:tc>
        <w:tc>
          <w:tcPr>
            <w:tcW w:type="dxa" w:w="3216"/>
          </w:tcPr>
          <w:p>
            <w:r>
              <w:rPr>
                <w:color w:val="121212"/>
                <w:sz w:val="20"/>
              </w:rPr>
            </w:r>
            <w:r>
              <w:rPr>
                <w:color w:val="121212"/>
                <w:sz w:val="20"/>
              </w:rPr>
              <w:t>any recent version</w:t>
            </w:r>
          </w:p>
        </w:tc>
        <w:tc>
          <w:tcPr>
            <w:tcW w:type="dxa" w:w="3216"/>
          </w:tcPr>
          <w:p>
            <w:r>
              <w:rPr>
                <w:color w:val="121212"/>
                <w:sz w:val="20"/>
              </w:rPr>
            </w:r>
            <w:r>
              <w:rPr>
                <w:color w:val="121212"/>
                <w:sz w:val="20"/>
              </w:rPr>
              <w:t>https://git-scm.com</w:t>
            </w:r>
          </w:p>
        </w:tc>
      </w:tr>
      <w:tr>
        <w:tc>
          <w:tcPr>
            <w:tcW w:type="dxa" w:w="3216"/>
          </w:tcPr>
          <w:p>
            <w:r>
              <w:rPr>
                <w:color w:val="121212"/>
                <w:sz w:val="20"/>
              </w:rPr>
            </w:r>
            <w:r>
              <w:rPr>
                <w:color w:val="121212"/>
                <w:sz w:val="20"/>
              </w:rPr>
              <w:t>A code editor</w:t>
            </w:r>
          </w:p>
        </w:tc>
        <w:tc>
          <w:tcPr>
            <w:tcW w:type="dxa" w:w="3216"/>
          </w:tcPr>
          <w:p>
            <w:r>
              <w:rPr>
                <w:color w:val="121212"/>
                <w:sz w:val="20"/>
              </w:rPr>
            </w:r>
            <w:r>
              <w:rPr>
                <w:color w:val="121212"/>
                <w:sz w:val="20"/>
              </w:rPr>
              <w:t>VS Code recommended</w:t>
            </w:r>
          </w:p>
        </w:tc>
        <w:tc>
          <w:tcPr>
            <w:tcW w:type="dxa" w:w="3216"/>
          </w:tcPr>
          <w:p>
            <w:r>
              <w:rPr>
                <w:color w:val="121212"/>
                <w:sz w:val="20"/>
              </w:rPr>
            </w:r>
            <w:r>
              <w:rPr>
                <w:color w:val="121212"/>
                <w:sz w:val="20"/>
              </w:rPr>
              <w:t>https://code.visualstudio.com</w:t>
            </w:r>
          </w:p>
        </w:tc>
      </w:tr>
      <w:tr>
        <w:tc>
          <w:tcPr>
            <w:tcW w:type="dxa" w:w="3216"/>
          </w:tcPr>
          <w:p>
            <w:r>
              <w:rPr>
                <w:color w:val="121212"/>
                <w:sz w:val="20"/>
              </w:rPr>
            </w:r>
            <w:r>
              <w:rPr>
                <w:color w:val="121212"/>
                <w:sz w:val="20"/>
              </w:rPr>
              <w:t>A terminal</w:t>
            </w:r>
          </w:p>
        </w:tc>
        <w:tc>
          <w:tcPr>
            <w:tcW w:type="dxa" w:w="3216"/>
          </w:tcPr>
          <w:p>
            <w:r>
              <w:rPr>
                <w:color w:val="121212"/>
                <w:sz w:val="20"/>
              </w:rPr>
            </w:r>
            <w:r>
              <w:rPr>
                <w:color w:val="121212"/>
                <w:sz w:val="20"/>
              </w:rPr>
              <w:t>Built into your OS</w:t>
            </w:r>
          </w:p>
        </w:tc>
        <w:tc>
          <w:tcPr>
            <w:tcW w:type="dxa" w:w="3216"/>
          </w:tcPr>
          <w:p>
            <w:r>
              <w:rPr>
                <w:color w:val="121212"/>
                <w:sz w:val="20"/>
              </w:rPr>
            </w:r>
            <w:r>
              <w:rPr>
                <w:color w:val="121212"/>
                <w:sz w:val="20"/>
              </w:rPr>
              <w:t>Terminal (macOS), PowerShell (Windows), bash (Linux)</w:t>
            </w:r>
          </w:p>
        </w:tc>
      </w:tr>
    </w:tbl>
    <w:p/>
    <w:p>
      <w:pPr>
        <w:spacing w:after="120" w:line="300" w:lineRule="auto"/>
      </w:pPr>
      <w:r>
        <w:t>To check your Node version:</w:t>
      </w:r>
    </w:p>
    <w:p>
      <w:pPr>
        <w:spacing w:before="120" w:after="160"/>
        <w:ind w:left="360"/>
      </w:pPr>
      <w:r>
        <w:rPr>
          <w:rFonts w:ascii="Consolas" w:hAnsi="Consolas"/>
          <w:color w:val="211030"/>
          <w:sz w:val="19"/>
        </w:rPr>
        <w:t>node --version</w:t>
      </w:r>
    </w:p>
    <w:p>
      <w:pPr>
        <w:spacing w:after="120" w:line="300" w:lineRule="auto"/>
      </w:pPr>
      <w:r>
        <w:t xml:space="preserve">If the number starts with </w:t>
      </w:r>
      <w:r>
        <w:rPr>
          <w:rFonts w:ascii="Consolas" w:hAnsi="Consolas"/>
          <w:color w:val="802CD7"/>
          <w:sz w:val="20"/>
        </w:rPr>
        <w:t>v20</w:t>
      </w:r>
      <w:r>
        <w:t xml:space="preserve"> or higher, you are good. If not, install or upgrade from https://nodejs.org.</w:t>
      </w:r>
    </w:p>
    <w:p>
      <w:pPr>
        <w:keepNext/>
        <w:spacing w:before="240" w:after="120"/>
      </w:pPr>
      <w:r>
        <w:rPr>
          <w:rFonts w:ascii="Calibri" w:hAnsi="Calibri"/>
          <w:b/>
          <w:i w:val="0"/>
          <w:color w:val="802CD7"/>
          <w:sz w:val="26"/>
        </w:rPr>
        <w:t>6.2 Clone the repository</w:t>
      </w:r>
    </w:p>
    <w:p>
      <w:pPr>
        <w:spacing w:before="120" w:after="160"/>
        <w:ind w:left="360"/>
      </w:pPr>
      <w:r>
        <w:rPr>
          <w:rFonts w:ascii="Consolas" w:hAnsi="Consolas"/>
          <w:color w:val="211030"/>
          <w:sz w:val="19"/>
        </w:rPr>
        <w:t>git clone https://github.com/asingh3506/md-budget-site.git</w:t>
        <w:br/>
        <w:t>cd md-budget-site</w:t>
      </w:r>
    </w:p>
    <w:p>
      <w:pPr>
        <w:keepNext/>
        <w:spacing w:before="240" w:after="120"/>
      </w:pPr>
      <w:r>
        <w:rPr>
          <w:rFonts w:ascii="Calibri" w:hAnsi="Calibri"/>
          <w:b/>
          <w:i w:val="0"/>
          <w:color w:val="802CD7"/>
          <w:sz w:val="26"/>
        </w:rPr>
        <w:t>6.3 Install dependencies</w:t>
      </w:r>
    </w:p>
    <w:p>
      <w:pPr>
        <w:spacing w:before="120" w:after="160"/>
        <w:ind w:left="360"/>
      </w:pPr>
      <w:r>
        <w:rPr>
          <w:rFonts w:ascii="Consolas" w:hAnsi="Consolas"/>
          <w:color w:val="211030"/>
          <w:sz w:val="19"/>
        </w:rPr>
        <w:t>npm install</w:t>
      </w:r>
    </w:p>
    <w:p>
      <w:pPr>
        <w:spacing w:after="120" w:line="300" w:lineRule="auto"/>
      </w:pPr>
      <w:r>
        <w:t xml:space="preserve">This downloads the JavaScript packages the project needs. It takes 1–3 minutes the first time. You only need to run it once per clone, or after a </w:t>
      </w:r>
      <w:r>
        <w:rPr>
          <w:rFonts w:ascii="Consolas" w:hAnsi="Consolas"/>
          <w:color w:val="802CD7"/>
          <w:sz w:val="20"/>
        </w:rPr>
        <w:t>git pull</w:t>
      </w:r>
      <w:r>
        <w:t xml:space="preserve"> that changed </w:t>
      </w:r>
      <w:r>
        <w:rPr>
          <w:rFonts w:ascii="Consolas" w:hAnsi="Consolas"/>
          <w:color w:val="802CD7"/>
          <w:sz w:val="20"/>
        </w:rPr>
        <w:t>package.json</w:t>
      </w:r>
      <w:r>
        <w:t>.</w:t>
      </w:r>
    </w:p>
    <w:p>
      <w:pPr>
        <w:keepNext/>
        <w:spacing w:before="240" w:after="120"/>
      </w:pPr>
      <w:r>
        <w:rPr>
          <w:rFonts w:ascii="Calibri" w:hAnsi="Calibri"/>
          <w:b/>
          <w:i w:val="0"/>
          <w:color w:val="802CD7"/>
          <w:sz w:val="26"/>
        </w:rPr>
        <w:t>6.4 Start the development server</w:t>
      </w:r>
    </w:p>
    <w:p>
      <w:pPr>
        <w:spacing w:before="120" w:after="160"/>
        <w:ind w:left="360"/>
      </w:pPr>
      <w:r>
        <w:rPr>
          <w:rFonts w:ascii="Consolas" w:hAnsi="Consolas"/>
          <w:color w:val="211030"/>
          <w:sz w:val="19"/>
        </w:rPr>
        <w:t>npm run dev</w:t>
      </w:r>
    </w:p>
    <w:p>
      <w:pPr>
        <w:spacing w:after="120" w:line="300" w:lineRule="auto"/>
      </w:pPr>
      <w:r>
        <w:t xml:space="preserve">When you see a message like </w:t>
      </w:r>
      <w:r>
        <w:rPr>
          <w:rFonts w:ascii="Consolas" w:hAnsi="Consolas"/>
          <w:color w:val="802CD7"/>
          <w:sz w:val="20"/>
        </w:rPr>
        <w:t>Ready in 1.2s</w:t>
      </w:r>
      <w:r>
        <w:t>, open your web browser and go to:</w:t>
      </w:r>
    </w:p>
    <w:p>
      <w:pPr>
        <w:spacing w:after="160"/>
        <w:ind w:left="432"/>
      </w:pPr>
      <w:r>
        <w:rPr>
          <w:rFonts w:ascii="Calibri" w:hAnsi="Calibri"/>
          <w:b w:val="0"/>
          <w:i/>
          <w:color w:val="555555"/>
          <w:sz w:val="22"/>
        </w:rPr>
        <w:t>http://localhost:3000</w:t>
      </w:r>
    </w:p>
    <w:p>
      <w:pPr>
        <w:spacing w:after="120" w:line="300" w:lineRule="auto"/>
      </w:pPr>
      <w:r>
        <w:t>You should see the full home page with KPI cards, the carousel, the county map, methodology, and guardrails.</w:t>
      </w:r>
    </w:p>
    <w:p>
      <w:pPr>
        <w:spacing w:before="200" w:after="40"/>
        <w:jc w:val="center"/>
      </w:pPr>
      <w:r>
        <w:rPr>
          <w:rFonts w:ascii="Calibri" w:hAnsi="Calibri"/>
          <w:b w:val="0"/>
          <w:i/>
          <w:color w:val="555555"/>
          <w:sz w:val="20"/>
        </w:rPr>
        <w:t>[ SCREENSHOT PLACEHOLDER ]</w:t>
        <w:br/>
        <w:t>The terminal showing 'Ready in 1.2s' and a browser opened to localhost:3000</w:t>
      </w:r>
    </w:p>
    <w:p>
      <w:pPr>
        <w:jc w:val="center"/>
      </w:pPr>
      <w:r>
        <w:rPr>
          <w:rFonts w:ascii="Calibri" w:hAnsi="Calibri"/>
          <w:b w:val="0"/>
          <w:i w:val="0"/>
          <w:color w:val="555555"/>
          <w:sz w:val="18"/>
        </w:rPr>
        <w:t>────────────────────────────────────────────────────────────</w:t>
      </w:r>
    </w:p>
    <w:p>
      <w:pPr>
        <w:keepNext/>
        <w:spacing w:before="240" w:after="120"/>
      </w:pPr>
      <w:r>
        <w:rPr>
          <w:rFonts w:ascii="Calibri" w:hAnsi="Calibri"/>
          <w:b/>
          <w:i w:val="0"/>
          <w:color w:val="802CD7"/>
          <w:sz w:val="26"/>
        </w:rPr>
        <w:t>6.5 Build for production</w:t>
      </w:r>
    </w:p>
    <w:p>
      <w:pPr>
        <w:spacing w:after="120" w:line="300" w:lineRule="auto"/>
      </w:pPr>
      <w:r>
        <w:t>When you want to verify your changes work in the production-ready output:</w:t>
      </w:r>
    </w:p>
    <w:p>
      <w:pPr>
        <w:spacing w:before="120" w:after="160"/>
        <w:ind w:left="360"/>
      </w:pPr>
      <w:r>
        <w:rPr>
          <w:rFonts w:ascii="Consolas" w:hAnsi="Consolas"/>
          <w:color w:val="211030"/>
          <w:sz w:val="19"/>
        </w:rPr>
        <w:t>npm run build</w:t>
      </w:r>
    </w:p>
    <w:p>
      <w:pPr>
        <w:spacing w:after="120" w:line="300" w:lineRule="auto"/>
      </w:pPr>
      <w:r>
        <w:t>If the build succeeds, you'll see a route listing like:</w:t>
      </w:r>
    </w:p>
    <w:p>
      <w:pPr>
        <w:spacing w:before="120" w:after="160"/>
        <w:ind w:left="360"/>
      </w:pPr>
      <w:r>
        <w:rPr>
          <w:rFonts w:ascii="Consolas" w:hAnsi="Consolas"/>
          <w:color w:val="211030"/>
          <w:sz w:val="19"/>
        </w:rPr>
        <w:t>Route (app)</w:t>
        <w:br/>
        <w:t>┌ ○ /</w:t>
        <w:br/>
        <w:t>├ ○ /_not-found</w:t>
        <w:br/>
        <w:t>├ ○ /guardrails</w:t>
        <w:br/>
        <w:t>└ ○ /methodology</w:t>
      </w:r>
    </w:p>
    <w:p>
      <w:pPr>
        <w:spacing w:after="120" w:line="300" w:lineRule="auto"/>
      </w:pPr>
      <w:r>
        <w:t>To serve that build locally:</w:t>
      </w:r>
    </w:p>
    <w:p>
      <w:pPr>
        <w:spacing w:before="120" w:after="160"/>
        <w:ind w:left="360"/>
      </w:pPr>
      <w:r>
        <w:rPr>
          <w:rFonts w:ascii="Consolas" w:hAnsi="Consolas"/>
          <w:color w:val="211030"/>
          <w:sz w:val="19"/>
        </w:rPr>
        <w:t>npm run start</w:t>
      </w:r>
    </w:p>
    <w:p>
      <w:pPr>
        <w:keepNext/>
        <w:spacing w:before="240" w:after="120"/>
      </w:pPr>
      <w:r>
        <w:rPr>
          <w:rFonts w:ascii="Calibri" w:hAnsi="Calibri"/>
          <w:b/>
          <w:i w:val="0"/>
          <w:color w:val="802CD7"/>
          <w:sz w:val="26"/>
        </w:rPr>
        <w:t>6.6 Where to make changes</w:t>
      </w:r>
    </w:p>
    <w:tbl>
      <w:tblPr>
        <w:tblStyle w:val="LightGrid-Accent4"/>
        <w:tblW w:type="auto" w:w="0"/>
        <w:tblLook w:firstColumn="1" w:firstRow="1" w:lastColumn="0" w:lastRow="0" w:noHBand="0" w:noVBand="1" w:val="04A0"/>
      </w:tblPr>
      <w:tblGrid>
        <w:gridCol w:w="4824"/>
        <w:gridCol w:w="4824"/>
      </w:tblGrid>
      <w:tr>
        <w:tc>
          <w:tcPr>
            <w:tcW w:type="dxa" w:w="4824"/>
          </w:tcPr>
          <w:p>
            <w:r/>
            <w:r>
              <w:rPr>
                <w:rFonts w:ascii="Calibri" w:hAnsi="Calibri"/>
                <w:b/>
                <w:i w:val="0"/>
                <w:color w:val="211030"/>
                <w:sz w:val="20"/>
              </w:rPr>
              <w:t>If you want to change…</w:t>
            </w:r>
          </w:p>
        </w:tc>
        <w:tc>
          <w:tcPr>
            <w:tcW w:type="dxa" w:w="4824"/>
          </w:tcPr>
          <w:p>
            <w:r/>
            <w:r>
              <w:rPr>
                <w:rFonts w:ascii="Calibri" w:hAnsi="Calibri"/>
                <w:b/>
                <w:i w:val="0"/>
                <w:color w:val="211030"/>
                <w:sz w:val="20"/>
              </w:rPr>
              <w:t>Edit this file</w:t>
            </w:r>
          </w:p>
        </w:tc>
      </w:tr>
      <w:tr>
        <w:tc>
          <w:tcPr>
            <w:tcW w:type="dxa" w:w="4824"/>
          </w:tcPr>
          <w:p>
            <w:r>
              <w:rPr>
                <w:color w:val="121212"/>
                <w:sz w:val="20"/>
              </w:rPr>
            </w:r>
            <w:r>
              <w:rPr>
                <w:color w:val="121212"/>
                <w:sz w:val="20"/>
              </w:rPr>
              <w:t>The KPI cards</w:t>
            </w:r>
          </w:p>
        </w:tc>
        <w:tc>
          <w:tcPr>
            <w:tcW w:type="dxa" w:w="4824"/>
          </w:tcPr>
          <w:p>
            <w:r>
              <w:rPr>
                <w:color w:val="121212"/>
                <w:sz w:val="20"/>
              </w:rPr>
            </w:r>
            <w:r>
              <w:rPr>
                <w:rFonts w:ascii="Consolas" w:hAnsi="Consolas"/>
                <w:color w:val="802CD7"/>
                <w:sz w:val="20"/>
              </w:rPr>
              <w:t>components/KpiRow.tsx</w:t>
            </w:r>
            <w:r>
              <w:rPr>
                <w:color w:val="121212"/>
                <w:sz w:val="20"/>
              </w:rPr>
              <w:t xml:space="preserve"> (the </w:t>
            </w:r>
            <w:r>
              <w:rPr>
                <w:rFonts w:ascii="Consolas" w:hAnsi="Consolas"/>
                <w:color w:val="802CD7"/>
                <w:sz w:val="20"/>
              </w:rPr>
              <w:t>CARDS</w:t>
            </w:r>
            <w:r>
              <w:rPr>
                <w:color w:val="121212"/>
                <w:sz w:val="20"/>
              </w:rPr>
              <w:t xml:space="preserve"> array)</w:t>
            </w:r>
          </w:p>
        </w:tc>
      </w:tr>
      <w:tr>
        <w:tc>
          <w:tcPr>
            <w:tcW w:type="dxa" w:w="4824"/>
          </w:tcPr>
          <w:p>
            <w:r>
              <w:rPr>
                <w:color w:val="121212"/>
                <w:sz w:val="20"/>
              </w:rPr>
            </w:r>
            <w:r>
              <w:rPr>
                <w:color w:val="121212"/>
                <w:sz w:val="20"/>
              </w:rPr>
              <w:t>The carousel slides</w:t>
            </w:r>
          </w:p>
        </w:tc>
        <w:tc>
          <w:tcPr>
            <w:tcW w:type="dxa" w:w="4824"/>
          </w:tcPr>
          <w:p>
            <w:r>
              <w:rPr>
                <w:color w:val="121212"/>
                <w:sz w:val="20"/>
              </w:rPr>
            </w:r>
            <w:r>
              <w:rPr>
                <w:rFonts w:ascii="Consolas" w:hAnsi="Consolas"/>
                <w:color w:val="802CD7"/>
                <w:sz w:val="20"/>
              </w:rPr>
              <w:t>components/Carousel.tsx</w:t>
            </w:r>
            <w:r>
              <w:rPr>
                <w:color w:val="121212"/>
                <w:sz w:val="20"/>
              </w:rPr>
              <w:t xml:space="preserve"> (the </w:t>
            </w:r>
            <w:r>
              <w:rPr>
                <w:rFonts w:ascii="Consolas" w:hAnsi="Consolas"/>
                <w:color w:val="802CD7"/>
                <w:sz w:val="20"/>
              </w:rPr>
              <w:t>SLIDES</w:t>
            </w:r>
            <w:r>
              <w:rPr>
                <w:color w:val="121212"/>
                <w:sz w:val="20"/>
              </w:rPr>
              <w:t xml:space="preserve"> array)</w:t>
            </w:r>
          </w:p>
        </w:tc>
      </w:tr>
      <w:tr>
        <w:tc>
          <w:tcPr>
            <w:tcW w:type="dxa" w:w="4824"/>
          </w:tcPr>
          <w:p>
            <w:r>
              <w:rPr>
                <w:color w:val="121212"/>
                <w:sz w:val="20"/>
              </w:rPr>
            </w:r>
            <w:r>
              <w:rPr>
                <w:color w:val="121212"/>
                <w:sz w:val="20"/>
              </w:rPr>
              <w:t>The ticker headlines</w:t>
            </w:r>
          </w:p>
        </w:tc>
        <w:tc>
          <w:tcPr>
            <w:tcW w:type="dxa" w:w="4824"/>
          </w:tcPr>
          <w:p>
            <w:r>
              <w:rPr>
                <w:color w:val="121212"/>
                <w:sz w:val="20"/>
              </w:rPr>
            </w:r>
            <w:r>
              <w:rPr>
                <w:rFonts w:ascii="Consolas" w:hAnsi="Consolas"/>
                <w:color w:val="802CD7"/>
                <w:sz w:val="20"/>
              </w:rPr>
              <w:t>app/page.tsx</w:t>
            </w:r>
            <w:r>
              <w:rPr>
                <w:color w:val="121212"/>
                <w:sz w:val="20"/>
              </w:rPr>
              <w:t xml:space="preserve"> (the </w:t>
            </w:r>
            <w:r>
              <w:rPr>
                <w:rFonts w:ascii="Consolas" w:hAnsi="Consolas"/>
                <w:color w:val="802CD7"/>
                <w:sz w:val="20"/>
              </w:rPr>
              <w:t>TICKER</w:t>
            </w:r>
            <w:r>
              <w:rPr>
                <w:color w:val="121212"/>
                <w:sz w:val="20"/>
              </w:rPr>
              <w:t xml:space="preserve"> array)</w:t>
            </w:r>
          </w:p>
        </w:tc>
      </w:tr>
      <w:tr>
        <w:tc>
          <w:tcPr>
            <w:tcW w:type="dxa" w:w="4824"/>
          </w:tcPr>
          <w:p>
            <w:r>
              <w:rPr>
                <w:color w:val="121212"/>
                <w:sz w:val="20"/>
              </w:rPr>
            </w:r>
            <w:r>
              <w:rPr>
                <w:color w:val="121212"/>
                <w:sz w:val="20"/>
              </w:rPr>
              <w:t>The Methodology page</w:t>
            </w:r>
          </w:p>
        </w:tc>
        <w:tc>
          <w:tcPr>
            <w:tcW w:type="dxa" w:w="4824"/>
          </w:tcPr>
          <w:p>
            <w:r>
              <w:rPr>
                <w:color w:val="121212"/>
                <w:sz w:val="20"/>
              </w:rPr>
            </w:r>
            <w:r>
              <w:rPr>
                <w:rFonts w:ascii="Consolas" w:hAnsi="Consolas"/>
                <w:color w:val="802CD7"/>
                <w:sz w:val="20"/>
              </w:rPr>
              <w:t>app/methodology/page.tsx</w:t>
            </w:r>
          </w:p>
        </w:tc>
      </w:tr>
      <w:tr>
        <w:tc>
          <w:tcPr>
            <w:tcW w:type="dxa" w:w="4824"/>
          </w:tcPr>
          <w:p>
            <w:r>
              <w:rPr>
                <w:color w:val="121212"/>
                <w:sz w:val="20"/>
              </w:rPr>
            </w:r>
            <w:r>
              <w:rPr>
                <w:color w:val="121212"/>
                <w:sz w:val="20"/>
              </w:rPr>
              <w:t>The Guardrails page</w:t>
            </w:r>
          </w:p>
        </w:tc>
        <w:tc>
          <w:tcPr>
            <w:tcW w:type="dxa" w:w="4824"/>
          </w:tcPr>
          <w:p>
            <w:r>
              <w:rPr>
                <w:color w:val="121212"/>
                <w:sz w:val="20"/>
              </w:rPr>
            </w:r>
            <w:r>
              <w:rPr>
                <w:rFonts w:ascii="Consolas" w:hAnsi="Consolas"/>
                <w:color w:val="802CD7"/>
                <w:sz w:val="20"/>
              </w:rPr>
              <w:t>app/guardrails/page.tsx</w:t>
            </w:r>
          </w:p>
        </w:tc>
      </w:tr>
      <w:tr>
        <w:tc>
          <w:tcPr>
            <w:tcW w:type="dxa" w:w="4824"/>
          </w:tcPr>
          <w:p>
            <w:r>
              <w:rPr>
                <w:color w:val="121212"/>
                <w:sz w:val="20"/>
              </w:rPr>
            </w:r>
            <w:r>
              <w:rPr>
                <w:color w:val="121212"/>
                <w:sz w:val="20"/>
              </w:rPr>
              <w:t>The header / nav</w:t>
            </w:r>
          </w:p>
        </w:tc>
        <w:tc>
          <w:tcPr>
            <w:tcW w:type="dxa" w:w="4824"/>
          </w:tcPr>
          <w:p>
            <w:r>
              <w:rPr>
                <w:color w:val="121212"/>
                <w:sz w:val="20"/>
              </w:rPr>
            </w:r>
            <w:r>
              <w:rPr>
                <w:rFonts w:ascii="Consolas" w:hAnsi="Consolas"/>
                <w:color w:val="802CD7"/>
                <w:sz w:val="20"/>
              </w:rPr>
              <w:t>components/Header.tsx</w:t>
            </w:r>
          </w:p>
        </w:tc>
      </w:tr>
      <w:tr>
        <w:tc>
          <w:tcPr>
            <w:tcW w:type="dxa" w:w="4824"/>
          </w:tcPr>
          <w:p>
            <w:r>
              <w:rPr>
                <w:color w:val="121212"/>
                <w:sz w:val="20"/>
              </w:rPr>
            </w:r>
            <w:r>
              <w:rPr>
                <w:color w:val="121212"/>
                <w:sz w:val="20"/>
              </w:rPr>
              <w:t>Theme colors and tokens</w:t>
            </w:r>
          </w:p>
        </w:tc>
        <w:tc>
          <w:tcPr>
            <w:tcW w:type="dxa" w:w="4824"/>
          </w:tcPr>
          <w:p>
            <w:r>
              <w:rPr>
                <w:color w:val="121212"/>
                <w:sz w:val="20"/>
              </w:rPr>
            </w:r>
            <w:r>
              <w:rPr>
                <w:rFonts w:ascii="Consolas" w:hAnsi="Consolas"/>
                <w:color w:val="802CD7"/>
                <w:sz w:val="20"/>
              </w:rPr>
              <w:t>app/globals.css</w:t>
            </w:r>
            <w:r>
              <w:rPr>
                <w:color w:val="121212"/>
                <w:sz w:val="20"/>
              </w:rPr>
              <w:t xml:space="preserve"> (CSS variables in </w:t>
            </w:r>
            <w:r>
              <w:rPr>
                <w:rFonts w:ascii="Consolas" w:hAnsi="Consolas"/>
                <w:color w:val="802CD7"/>
                <w:sz w:val="20"/>
              </w:rPr>
              <w:t>:root</w:t>
            </w:r>
            <w:r>
              <w:rPr>
                <w:color w:val="121212"/>
                <w:sz w:val="20"/>
              </w:rPr>
              <w:t>)</w:t>
            </w:r>
          </w:p>
        </w:tc>
      </w:tr>
      <w:tr>
        <w:tc>
          <w:tcPr>
            <w:tcW w:type="dxa" w:w="4824"/>
          </w:tcPr>
          <w:p>
            <w:r>
              <w:rPr>
                <w:color w:val="121212"/>
                <w:sz w:val="20"/>
              </w:rPr>
            </w:r>
            <w:r>
              <w:rPr>
                <w:color w:val="121212"/>
                <w:sz w:val="20"/>
              </w:rPr>
              <w:t>A specific chart</w:t>
            </w:r>
          </w:p>
        </w:tc>
        <w:tc>
          <w:tcPr>
            <w:tcW w:type="dxa" w:w="4824"/>
          </w:tcPr>
          <w:p>
            <w:r>
              <w:rPr>
                <w:color w:val="121212"/>
                <w:sz w:val="20"/>
              </w:rPr>
            </w:r>
            <w:r>
              <w:rPr>
                <w:rFonts w:ascii="Consolas" w:hAnsi="Consolas"/>
                <w:color w:val="802CD7"/>
                <w:sz w:val="20"/>
              </w:rPr>
              <w:t>components/charts/&lt;ChartName&gt;.tsx</w:t>
            </w:r>
          </w:p>
        </w:tc>
      </w:tr>
    </w:tbl>
    <w:p/>
    <w:p>
      <w:pPr>
        <w:spacing w:after="120" w:line="300" w:lineRule="auto"/>
      </w:pPr>
      <w:r>
        <w:t>After saving, the dev server reloads automatically. No restart needed.</w:t>
      </w:r>
    </w:p>
    <w:p>
      <w:pPr>
        <w:jc w:val="center"/>
      </w:pPr>
      <w:r>
        <w:rPr>
          <w:rFonts w:ascii="Calibri" w:hAnsi="Calibri"/>
          <w:b w:val="0"/>
          <w:i w:val="0"/>
          <w:color w:val="555555"/>
          <w:sz w:val="18"/>
        </w:rPr>
        <w:t>──────────────────────────────────────────────────</w:t>
      </w:r>
    </w:p>
    <w:p>
      <w:pPr>
        <w:keepNext/>
        <w:spacing w:before="240" w:after="120"/>
      </w:pPr>
      <w:r>
        <w:rPr>
          <w:rFonts w:ascii="Calibri" w:hAnsi="Calibri"/>
          <w:b/>
          <w:i w:val="0"/>
          <w:color w:val="6321A5"/>
          <w:sz w:val="32"/>
        </w:rPr>
        <w:t>7. Setting Up the Deep-Dive Locally</w:t>
      </w:r>
    </w:p>
    <w:p>
      <w:pPr>
        <w:spacing w:after="120" w:line="300" w:lineRule="auto"/>
      </w:pPr>
      <w:r>
        <w:t>The Deep-Dive lives in a separate repository. It has its own data pipeline, database, and frontend. You only need to set this up if you are refreshing the data or modifying Deep-Dive pages.</w:t>
      </w:r>
    </w:p>
    <w:p>
      <w:pPr>
        <w:spacing w:after="160"/>
        <w:ind w:left="432"/>
      </w:pPr>
      <w:r>
        <w:rPr>
          <w:rFonts w:ascii="Calibri" w:hAnsi="Calibri"/>
          <w:b w:val="0"/>
          <w:i/>
          <w:color w:val="555555"/>
          <w:sz w:val="22"/>
        </w:rPr>
        <w:t>**Note.** The home page repository already includes the pre-built Deep-Dive HTML under `public/deep-dive/`. If you are not changing Deep-Dive content, you do not need to run this section — the static build is already deployed.</w:t>
      </w:r>
    </w:p>
    <w:p>
      <w:pPr>
        <w:keepNext/>
        <w:spacing w:before="240" w:after="120"/>
      </w:pPr>
      <w:r>
        <w:rPr>
          <w:rFonts w:ascii="Calibri" w:hAnsi="Calibri"/>
          <w:b/>
          <w:i w:val="0"/>
          <w:color w:val="802CD7"/>
          <w:sz w:val="26"/>
        </w:rPr>
        <w:t>7.1 What you need installed</w:t>
      </w:r>
    </w:p>
    <w:tbl>
      <w:tblPr>
        <w:tblStyle w:val="LightGrid-Accent4"/>
        <w:tblW w:type="auto" w:w="0"/>
        <w:tblLook w:firstColumn="1" w:firstRow="1" w:lastColumn="0" w:lastRow="0" w:noHBand="0" w:noVBand="1" w:val="04A0"/>
      </w:tblPr>
      <w:tblGrid>
        <w:gridCol w:w="3216"/>
        <w:gridCol w:w="3216"/>
        <w:gridCol w:w="3216"/>
      </w:tblGrid>
      <w:tr>
        <w:tc>
          <w:tcPr>
            <w:tcW w:type="dxa" w:w="3216"/>
          </w:tcPr>
          <w:p>
            <w:r/>
            <w:r>
              <w:rPr>
                <w:rFonts w:ascii="Calibri" w:hAnsi="Calibri"/>
                <w:b/>
                <w:i w:val="0"/>
                <w:color w:val="211030"/>
                <w:sz w:val="20"/>
              </w:rPr>
              <w:t>Tool</w:t>
            </w:r>
          </w:p>
        </w:tc>
        <w:tc>
          <w:tcPr>
            <w:tcW w:type="dxa" w:w="3216"/>
          </w:tcPr>
          <w:p>
            <w:r/>
            <w:r>
              <w:rPr>
                <w:rFonts w:ascii="Calibri" w:hAnsi="Calibri"/>
                <w:b/>
                <w:i w:val="0"/>
                <w:color w:val="211030"/>
                <w:sz w:val="20"/>
              </w:rPr>
              <w:t>Version</w:t>
            </w:r>
          </w:p>
        </w:tc>
        <w:tc>
          <w:tcPr>
            <w:tcW w:type="dxa" w:w="3216"/>
          </w:tcPr>
          <w:p>
            <w:r/>
            <w:r>
              <w:rPr>
                <w:rFonts w:ascii="Calibri" w:hAnsi="Calibri"/>
                <w:b/>
                <w:i w:val="0"/>
                <w:color w:val="211030"/>
                <w:sz w:val="20"/>
              </w:rPr>
              <w:t>Where to get it</w:t>
            </w:r>
          </w:p>
        </w:tc>
      </w:tr>
      <w:tr>
        <w:tc>
          <w:tcPr>
            <w:tcW w:type="dxa" w:w="3216"/>
          </w:tcPr>
          <w:p>
            <w:r>
              <w:rPr>
                <w:color w:val="121212"/>
                <w:sz w:val="20"/>
              </w:rPr>
            </w:r>
            <w:r>
              <w:rPr>
                <w:color w:val="121212"/>
                <w:sz w:val="20"/>
              </w:rPr>
              <w:t>Python</w:t>
            </w:r>
          </w:p>
        </w:tc>
        <w:tc>
          <w:tcPr>
            <w:tcW w:type="dxa" w:w="3216"/>
          </w:tcPr>
          <w:p>
            <w:r>
              <w:rPr>
                <w:color w:val="121212"/>
                <w:sz w:val="20"/>
              </w:rPr>
            </w:r>
            <w:r>
              <w:rPr>
                <w:color w:val="121212"/>
                <w:sz w:val="20"/>
              </w:rPr>
              <w:t>3.10 or newer</w:t>
            </w:r>
          </w:p>
        </w:tc>
        <w:tc>
          <w:tcPr>
            <w:tcW w:type="dxa" w:w="3216"/>
          </w:tcPr>
          <w:p>
            <w:r>
              <w:rPr>
                <w:color w:val="121212"/>
                <w:sz w:val="20"/>
              </w:rPr>
            </w:r>
            <w:r>
              <w:rPr>
                <w:color w:val="121212"/>
                <w:sz w:val="20"/>
              </w:rPr>
              <w:t>https://www.python.org</w:t>
            </w:r>
          </w:p>
        </w:tc>
      </w:tr>
      <w:tr>
        <w:tc>
          <w:tcPr>
            <w:tcW w:type="dxa" w:w="3216"/>
          </w:tcPr>
          <w:p>
            <w:r>
              <w:rPr>
                <w:color w:val="121212"/>
                <w:sz w:val="20"/>
              </w:rPr>
            </w:r>
            <w:r>
              <w:rPr>
                <w:color w:val="121212"/>
                <w:sz w:val="20"/>
              </w:rPr>
              <w:t>Node.js</w:t>
            </w:r>
          </w:p>
        </w:tc>
        <w:tc>
          <w:tcPr>
            <w:tcW w:type="dxa" w:w="3216"/>
          </w:tcPr>
          <w:p>
            <w:r>
              <w:rPr>
                <w:color w:val="121212"/>
                <w:sz w:val="20"/>
              </w:rPr>
            </w:r>
            <w:r>
              <w:rPr>
                <w:color w:val="121212"/>
                <w:sz w:val="20"/>
              </w:rPr>
              <w:t>18 or newer</w:t>
            </w:r>
          </w:p>
        </w:tc>
        <w:tc>
          <w:tcPr>
            <w:tcW w:type="dxa" w:w="3216"/>
          </w:tcPr>
          <w:p>
            <w:r>
              <w:rPr>
                <w:color w:val="121212"/>
                <w:sz w:val="20"/>
              </w:rPr>
            </w:r>
            <w:r>
              <w:rPr>
                <w:color w:val="121212"/>
                <w:sz w:val="20"/>
              </w:rPr>
              <w:t>https://nodejs.org</w:t>
            </w:r>
          </w:p>
        </w:tc>
      </w:tr>
      <w:tr>
        <w:tc>
          <w:tcPr>
            <w:tcW w:type="dxa" w:w="3216"/>
          </w:tcPr>
          <w:p>
            <w:r>
              <w:rPr>
                <w:color w:val="121212"/>
                <w:sz w:val="20"/>
              </w:rPr>
            </w:r>
            <w:r>
              <w:rPr>
                <w:color w:val="121212"/>
                <w:sz w:val="20"/>
              </w:rPr>
              <w:t>Anthropic API key</w:t>
            </w:r>
          </w:p>
        </w:tc>
        <w:tc>
          <w:tcPr>
            <w:tcW w:type="dxa" w:w="3216"/>
          </w:tcPr>
          <w:p>
            <w:r>
              <w:rPr>
                <w:color w:val="121212"/>
                <w:sz w:val="20"/>
              </w:rPr>
            </w:r>
            <w:r>
              <w:rPr>
                <w:color w:val="121212"/>
                <w:sz w:val="20"/>
              </w:rPr>
              <w:t>Active</w:t>
            </w:r>
          </w:p>
        </w:tc>
        <w:tc>
          <w:tcPr>
            <w:tcW w:type="dxa" w:w="3216"/>
          </w:tcPr>
          <w:p>
            <w:r>
              <w:rPr>
                <w:color w:val="121212"/>
                <w:sz w:val="20"/>
              </w:rPr>
            </w:r>
            <w:r>
              <w:rPr>
                <w:color w:val="121212"/>
                <w:sz w:val="20"/>
              </w:rPr>
              <w:t>https://console.anthropic.com</w:t>
            </w:r>
          </w:p>
        </w:tc>
      </w:tr>
    </w:tbl>
    <w:p/>
    <w:p>
      <w:pPr>
        <w:spacing w:after="120" w:line="300" w:lineRule="auto"/>
      </w:pPr>
      <w:r>
        <w:t>The API key is only required when re-running the AI classification pipeline (cost-pool mapping and IT tower classification). The classification output is cached in CSV, so the key is not needed every time you rebuild Evidence.</w:t>
      </w:r>
    </w:p>
    <w:p>
      <w:pPr>
        <w:keepNext/>
        <w:spacing w:before="240" w:after="120"/>
      </w:pPr>
      <w:r>
        <w:rPr>
          <w:rFonts w:ascii="Calibri" w:hAnsi="Calibri"/>
          <w:b/>
          <w:i w:val="0"/>
          <w:color w:val="802CD7"/>
          <w:sz w:val="26"/>
        </w:rPr>
        <w:t>7.2 Clone the repository</w:t>
      </w:r>
    </w:p>
    <w:p>
      <w:pPr>
        <w:spacing w:before="120" w:after="160"/>
        <w:ind w:left="360"/>
      </w:pPr>
      <w:r>
        <w:rPr>
          <w:rFonts w:ascii="Consolas" w:hAnsi="Consolas"/>
          <w:color w:val="211030"/>
          <w:sz w:val="19"/>
        </w:rPr>
        <w:t>git clone https://github.com/priyanshu124/IT_state_budget_agent.git</w:t>
        <w:br/>
        <w:t>cd IT_state_budget_agent</w:t>
      </w:r>
    </w:p>
    <w:p>
      <w:pPr>
        <w:keepNext/>
        <w:spacing w:before="240" w:after="120"/>
      </w:pPr>
      <w:r>
        <w:rPr>
          <w:rFonts w:ascii="Calibri" w:hAnsi="Calibri"/>
          <w:b/>
          <w:i w:val="0"/>
          <w:color w:val="802CD7"/>
          <w:sz w:val="26"/>
        </w:rPr>
        <w:t>7.3 Set up the Python environment</w:t>
      </w:r>
    </w:p>
    <w:p>
      <w:pPr>
        <w:spacing w:after="120" w:line="300" w:lineRule="auto"/>
      </w:pPr>
      <w:r>
        <w:t>The easy way:</w:t>
      </w:r>
    </w:p>
    <w:p>
      <w:pPr>
        <w:spacing w:before="120" w:after="160"/>
        <w:ind w:left="360"/>
      </w:pPr>
      <w:r>
        <w:rPr>
          <w:rFonts w:ascii="Consolas" w:hAnsi="Consolas"/>
          <w:color w:val="211030"/>
          <w:sz w:val="19"/>
        </w:rPr>
        <w:t>bash setup.sh</w:t>
      </w:r>
    </w:p>
    <w:p>
      <w:pPr>
        <w:spacing w:after="120" w:line="300" w:lineRule="auto"/>
      </w:pPr>
      <w:r>
        <w:t>Or step-by-step:</w:t>
      </w:r>
    </w:p>
    <w:p>
      <w:pPr>
        <w:spacing w:before="120" w:after="160"/>
        <w:ind w:left="360"/>
      </w:pPr>
      <w:r>
        <w:rPr>
          <w:rFonts w:ascii="Consolas" w:hAnsi="Consolas"/>
          <w:color w:val="211030"/>
          <w:sz w:val="19"/>
        </w:rPr>
        <w:t>python3 -m venv venv</w:t>
        <w:br/>
        <w:t>source venv/bin/activate            # On Windows PowerShell: venv\Scripts\Activate.ps1</w:t>
        <w:br/>
        <w:t>pip install -r requirements.txt</w:t>
      </w:r>
    </w:p>
    <w:p>
      <w:pPr>
        <w:keepNext/>
        <w:spacing w:before="240" w:after="120"/>
      </w:pPr>
      <w:r>
        <w:rPr>
          <w:rFonts w:ascii="Calibri" w:hAnsi="Calibri"/>
          <w:b/>
          <w:i w:val="0"/>
          <w:color w:val="802CD7"/>
          <w:sz w:val="26"/>
        </w:rPr>
        <w:t>7.4 Add your API key (only if running classification)</w:t>
      </w:r>
    </w:p>
    <w:p>
      <w:pPr>
        <w:spacing w:after="120" w:line="300" w:lineRule="auto"/>
      </w:pPr>
      <w:r>
        <w:t xml:space="preserve">Create a file named </w:t>
      </w:r>
      <w:r>
        <w:rPr>
          <w:rFonts w:ascii="Consolas" w:hAnsi="Consolas"/>
          <w:color w:val="802CD7"/>
          <w:sz w:val="20"/>
        </w:rPr>
        <w:t>.env</w:t>
      </w:r>
      <w:r>
        <w:t xml:space="preserve"> in the repository root with this content:</w:t>
      </w:r>
    </w:p>
    <w:p>
      <w:pPr>
        <w:spacing w:before="120" w:after="160"/>
        <w:ind w:left="360"/>
      </w:pPr>
      <w:r>
        <w:rPr>
          <w:rFonts w:ascii="Consolas" w:hAnsi="Consolas"/>
          <w:color w:val="211030"/>
          <w:sz w:val="19"/>
        </w:rPr>
        <w:t>ANTHROPIC_API_KEY=sk-ant-...your-key-here...</w:t>
      </w:r>
    </w:p>
    <w:p>
      <w:pPr>
        <w:spacing w:after="120" w:line="300" w:lineRule="auto"/>
      </w:pPr>
      <w:r>
        <w:t xml:space="preserve">Do not commit this file. It is already in </w:t>
      </w:r>
      <w:r>
        <w:rPr>
          <w:rFonts w:ascii="Consolas" w:hAnsi="Consolas"/>
          <w:color w:val="802CD7"/>
          <w:sz w:val="20"/>
        </w:rPr>
        <w:t>.gitignore</w:t>
      </w:r>
      <w:r>
        <w:t>.</w:t>
      </w:r>
    </w:p>
    <w:p>
      <w:pPr>
        <w:keepNext/>
        <w:spacing w:before="240" w:after="120"/>
      </w:pPr>
      <w:r>
        <w:rPr>
          <w:rFonts w:ascii="Calibri" w:hAnsi="Calibri"/>
          <w:b/>
          <w:i w:val="0"/>
          <w:color w:val="802CD7"/>
          <w:sz w:val="26"/>
        </w:rPr>
        <w:t>7.5 Ingest raw data into DuckDB</w:t>
      </w:r>
    </w:p>
    <w:p>
      <w:pPr>
        <w:spacing w:before="120" w:after="160"/>
        <w:ind w:left="360"/>
      </w:pPr>
      <w:r>
        <w:rPr>
          <w:rFonts w:ascii="Consolas" w:hAnsi="Consolas"/>
          <w:color w:val="211030"/>
          <w:sz w:val="19"/>
        </w:rPr>
        <w:t>python load_data.py</w:t>
      </w:r>
    </w:p>
    <w:p>
      <w:pPr>
        <w:spacing w:after="120" w:line="300" w:lineRule="auto"/>
      </w:pPr>
      <w:r>
        <w:t xml:space="preserve">This reads the source budget files and writes them to </w:t>
      </w:r>
      <w:r>
        <w:rPr>
          <w:rFonts w:ascii="Consolas" w:hAnsi="Consolas"/>
          <w:color w:val="802CD7"/>
          <w:sz w:val="20"/>
        </w:rPr>
        <w:t>dbt-sql/mbtsa_work.duckdb</w:t>
      </w:r>
      <w:r>
        <w:t>. Re-run any time the raw data is refreshed.</w:t>
      </w:r>
    </w:p>
    <w:p>
      <w:pPr>
        <w:keepNext/>
        <w:spacing w:before="240" w:after="120"/>
      </w:pPr>
      <w:r>
        <w:rPr>
          <w:rFonts w:ascii="Calibri" w:hAnsi="Calibri"/>
          <w:b/>
          <w:i w:val="0"/>
          <w:color w:val="802CD7"/>
          <w:sz w:val="26"/>
        </w:rPr>
        <w:t>7.6 Run DBT transformations</w:t>
      </w:r>
    </w:p>
    <w:p>
      <w:pPr>
        <w:spacing w:before="120" w:after="160"/>
        <w:ind w:left="360"/>
      </w:pPr>
      <w:r>
        <w:rPr>
          <w:rFonts w:ascii="Consolas" w:hAnsi="Consolas"/>
          <w:color w:val="211030"/>
          <w:sz w:val="19"/>
        </w:rPr>
        <w:t>cd dbt-sql</w:t>
        <w:br/>
        <w:t>dbt run</w:t>
        <w:br/>
        <w:t>cd ..</w:t>
      </w:r>
    </w:p>
    <w:p>
      <w:pPr>
        <w:spacing w:after="120" w:line="300" w:lineRule="auto"/>
      </w:pPr>
      <w:r>
        <w:t xml:space="preserve">This rebuilds the analytical marts. The most important downstream table is </w:t>
      </w:r>
      <w:r>
        <w:rPr>
          <w:rFonts w:ascii="Consolas" w:hAnsi="Consolas"/>
          <w:color w:val="802CD7"/>
          <w:sz w:val="20"/>
        </w:rPr>
        <w:t>main_marts.fct_it_spend</w:t>
      </w:r>
      <w:r>
        <w:t xml:space="preserve"> — the fact table every Deep-Dive chart ultimately joins against.</w:t>
      </w:r>
    </w:p>
    <w:p>
      <w:pPr>
        <w:keepNext/>
        <w:spacing w:before="240" w:after="120"/>
      </w:pPr>
      <w:r>
        <w:rPr>
          <w:rFonts w:ascii="Calibri" w:hAnsi="Calibri"/>
          <w:b/>
          <w:i w:val="0"/>
          <w:color w:val="802CD7"/>
          <w:sz w:val="26"/>
        </w:rPr>
        <w:t>7.7 (Optional) Re-run AI classification</w:t>
      </w:r>
    </w:p>
    <w:p>
      <w:pPr>
        <w:spacing w:after="120" w:line="300" w:lineRule="auto"/>
      </w:pPr>
      <w:r>
        <w:t>If new programs were added to the source data, re-run the cost pool mapper and tower classifier. Skip this step if you have not changed the source data.</w:t>
      </w:r>
    </w:p>
    <w:p>
      <w:pPr>
        <w:spacing w:before="120" w:after="160"/>
        <w:ind w:left="360"/>
      </w:pPr>
      <w:r>
        <w:rPr>
          <w:rFonts w:ascii="Consolas" w:hAnsi="Consolas"/>
          <w:color w:val="211030"/>
          <w:sz w:val="19"/>
        </w:rPr>
        <w:t>python -m src.agents.cost_pool_mapper</w:t>
        <w:br/>
        <w:t>python -m src.agents.tower_classifier</w:t>
      </w:r>
    </w:p>
    <w:p>
      <w:pPr>
        <w:spacing w:after="120" w:line="300" w:lineRule="auto"/>
      </w:pPr>
      <w:r>
        <w:t xml:space="preserve">This step consumes Anthropic API tokens. The cached classifications live in </w:t>
      </w:r>
      <w:r>
        <w:rPr>
          <w:rFonts w:ascii="Consolas" w:hAnsi="Consolas"/>
          <w:color w:val="802CD7"/>
          <w:sz w:val="20"/>
        </w:rPr>
        <w:t>data/output/cost_pool_mappings.csv</w:t>
      </w:r>
      <w:r>
        <w:t>.</w:t>
      </w:r>
    </w:p>
    <w:p>
      <w:pPr>
        <w:keepNext/>
        <w:spacing w:before="240" w:after="120"/>
      </w:pPr>
      <w:r>
        <w:rPr>
          <w:rFonts w:ascii="Calibri" w:hAnsi="Calibri"/>
          <w:b/>
          <w:i w:val="0"/>
          <w:color w:val="802CD7"/>
          <w:sz w:val="26"/>
        </w:rPr>
        <w:t>7.8 Build the Evidence dashboard</w:t>
      </w:r>
    </w:p>
    <w:p>
      <w:pPr>
        <w:spacing w:before="120" w:after="160"/>
        <w:ind w:left="360"/>
      </w:pPr>
      <w:r>
        <w:rPr>
          <w:rFonts w:ascii="Consolas" w:hAnsi="Consolas"/>
          <w:color w:val="211030"/>
          <w:sz w:val="19"/>
        </w:rPr>
        <w:t>cd dashboard</w:t>
        <w:br/>
        <w:t>npm install                      # only the first time</w:t>
        <w:br/>
        <w:t>npm run dev                      # to preview locally → http://localhost:3000</w:t>
        <w:br/>
        <w:t>npm run build                    # to produce the static bundle</w:t>
      </w:r>
    </w:p>
    <w:p>
      <w:pPr>
        <w:spacing w:after="120" w:line="300" w:lineRule="auto"/>
      </w:pPr>
      <w:r>
        <w:t xml:space="preserve">The static bundle ends up in </w:t>
      </w:r>
      <w:r>
        <w:rPr>
          <w:rFonts w:ascii="Consolas" w:hAnsi="Consolas"/>
          <w:color w:val="802CD7"/>
          <w:sz w:val="20"/>
        </w:rPr>
        <w:t>dashboard/build/</w:t>
      </w:r>
      <w:r>
        <w:t>.</w:t>
      </w:r>
    </w:p>
    <w:p>
      <w:pPr>
        <w:keepNext/>
        <w:spacing w:before="240" w:after="120"/>
      </w:pPr>
      <w:r>
        <w:rPr>
          <w:rFonts w:ascii="Calibri" w:hAnsi="Calibri"/>
          <w:b/>
          <w:i w:val="0"/>
          <w:color w:val="802CD7"/>
          <w:sz w:val="26"/>
        </w:rPr>
        <w:t>7.9 Publish the Deep-Dive to the home page</w:t>
      </w:r>
    </w:p>
    <w:p>
      <w:pPr>
        <w:spacing w:after="120" w:line="300" w:lineRule="auto"/>
      </w:pPr>
      <w:r>
        <w:t xml:space="preserve">The home page repository expects the Deep-Dive's built output at </w:t>
      </w:r>
      <w:r>
        <w:rPr>
          <w:rFonts w:ascii="Consolas" w:hAnsi="Consolas"/>
          <w:color w:val="802CD7"/>
          <w:sz w:val="20"/>
        </w:rPr>
        <w:t>public/deep-dive/</w:t>
      </w:r>
      <w:r>
        <w:t>. To update it:</w:t>
      </w:r>
    </w:p>
    <w:p>
      <w:pPr>
        <w:spacing w:before="120" w:after="160"/>
        <w:ind w:left="360"/>
      </w:pPr>
      <w:r>
        <w:rPr>
          <w:rFonts w:ascii="Consolas" w:hAnsi="Consolas"/>
          <w:color w:val="211030"/>
          <w:sz w:val="19"/>
        </w:rPr>
        <w:t># from the IT_state_budget_agent repo, after npm run build</w:t>
        <w:br/>
        <w:t>rm -rf &lt;path-to&gt;/md-budget-site/public/deep-dive</w:t>
        <w:br/>
        <w:t>cp -r dashboard/build &lt;path-to&gt;/md-budget-site/public/deep-dive</w:t>
      </w:r>
    </w:p>
    <w:p>
      <w:pPr>
        <w:spacing w:after="120" w:line="300" w:lineRule="auto"/>
      </w:pPr>
      <w:r>
        <w:t>Then commit the change in the home-page repo and push. Netlify will rebuild and the new Deep-Dive will be live within a couple of minutes.</w:t>
      </w:r>
    </w:p>
    <w:p>
      <w:pPr>
        <w:spacing w:before="200" w:after="40"/>
        <w:jc w:val="center"/>
      </w:pPr>
      <w:r>
        <w:rPr>
          <w:rFonts w:ascii="Calibri" w:hAnsi="Calibri"/>
          <w:b w:val="0"/>
          <w:i/>
          <w:color w:val="555555"/>
          <w:sz w:val="20"/>
        </w:rPr>
        <w:t>[ SCREENSHOT PLACEHOLDER ]</w:t>
        <w:br/>
        <w:t>The local Deep-Dive running at http://localhost:3000/budget-office</w:t>
      </w:r>
    </w:p>
    <w:p>
      <w:pPr>
        <w:jc w:val="center"/>
      </w:pPr>
      <w:r>
        <w:rPr>
          <w:rFonts w:ascii="Calibri" w:hAnsi="Calibri"/>
          <w:b w:val="0"/>
          <w:i w:val="0"/>
          <w:color w:val="555555"/>
          <w:sz w:val="18"/>
        </w:rPr>
        <w:t>────────────────────────────────────────────────────────────</w:t>
      </w:r>
    </w:p>
    <w:p>
      <w:pPr>
        <w:jc w:val="center"/>
      </w:pPr>
      <w:r>
        <w:rPr>
          <w:rFonts w:ascii="Calibri" w:hAnsi="Calibri"/>
          <w:b w:val="0"/>
          <w:i w:val="0"/>
          <w:color w:val="555555"/>
          <w:sz w:val="18"/>
        </w:rPr>
        <w:t>──────────────────────────────────────────────────</w:t>
      </w:r>
    </w:p>
    <w:p>
      <w:pPr>
        <w:keepNext/>
        <w:spacing w:before="240" w:after="120"/>
      </w:pPr>
      <w:r>
        <w:rPr>
          <w:rFonts w:ascii="Calibri" w:hAnsi="Calibri"/>
          <w:b/>
          <w:i w:val="0"/>
          <w:color w:val="6321A5"/>
          <w:sz w:val="32"/>
        </w:rPr>
        <w:t>8. Updating the Live Site</w:t>
      </w:r>
    </w:p>
    <w:p>
      <w:pPr>
        <w:spacing w:after="120" w:line="300" w:lineRule="auto"/>
      </w:pPr>
      <w:r>
        <w:t xml:space="preserve">The live site is deployed on Netlify and is configured to rebuild automatically on every push to </w:t>
      </w:r>
      <w:r>
        <w:rPr>
          <w:rFonts w:ascii="Consolas" w:hAnsi="Consolas"/>
          <w:color w:val="802CD7"/>
          <w:sz w:val="20"/>
        </w:rPr>
        <w:t>master</w:t>
      </w:r>
      <w:r>
        <w:t xml:space="preserve"> in the home-page repository.</w:t>
      </w:r>
    </w:p>
    <w:p>
      <w:pPr>
        <w:keepNext/>
        <w:spacing w:before="240" w:after="120"/>
      </w:pPr>
      <w:r>
        <w:rPr>
          <w:rFonts w:ascii="Calibri" w:hAnsi="Calibri"/>
          <w:b/>
          <w:i w:val="0"/>
          <w:color w:val="802CD7"/>
          <w:sz w:val="26"/>
        </w:rPr>
        <w:t>8.1 Update the home page</w:t>
      </w:r>
    </w:p>
    <w:p>
      <w:pPr>
        <w:spacing w:before="120" w:after="160"/>
        <w:ind w:left="360"/>
      </w:pPr>
      <w:r>
        <w:rPr>
          <w:rFonts w:ascii="Consolas" w:hAnsi="Consolas"/>
          <w:color w:val="211030"/>
          <w:sz w:val="19"/>
        </w:rPr>
        <w:t># in the md-budget-site repository</w:t>
        <w:br/>
        <w:t>git checkout master</w:t>
        <w:br/>
        <w:t># … make your changes …</w:t>
        <w:br/>
        <w:t>npm run build                      # sanity check</w:t>
        <w:br/>
        <w:t>git add -A</w:t>
        <w:br/>
        <w:t>git commit -m "describe what changed"</w:t>
        <w:br/>
        <w:t>git push origin master</w:t>
      </w:r>
    </w:p>
    <w:p>
      <w:pPr>
        <w:spacing w:after="120" w:line="300" w:lineRule="auto"/>
      </w:pPr>
      <w:r>
        <w:t xml:space="preserve">Netlify will detect the push, run </w:t>
      </w:r>
      <w:r>
        <w:rPr>
          <w:rFonts w:ascii="Consolas" w:hAnsi="Consolas"/>
          <w:color w:val="802CD7"/>
          <w:sz w:val="20"/>
        </w:rPr>
        <w:t>npm run build</w:t>
      </w:r>
      <w:r>
        <w:t>, and publish within 1–3 minutes. You can watch the build live at https://app.netlify.com.</w:t>
      </w:r>
    </w:p>
    <w:p>
      <w:pPr>
        <w:keepNext/>
        <w:spacing w:before="240" w:after="120"/>
      </w:pPr>
      <w:r>
        <w:rPr>
          <w:rFonts w:ascii="Calibri" w:hAnsi="Calibri"/>
          <w:b/>
          <w:i w:val="0"/>
          <w:color w:val="802CD7"/>
          <w:sz w:val="26"/>
        </w:rPr>
        <w:t>8.2 Update the Deep-Dive</w:t>
      </w:r>
    </w:p>
    <w:p>
      <w:pPr>
        <w:spacing w:before="120" w:after="160"/>
        <w:ind w:left="360"/>
      </w:pPr>
      <w:r>
        <w:rPr>
          <w:rFonts w:ascii="Consolas" w:hAnsi="Consolas"/>
          <w:color w:val="211030"/>
          <w:sz w:val="19"/>
        </w:rPr>
        <w:t># in the IT_state_budget_agent repository</w:t>
        <w:br/>
        <w:t># … make your changes …</w:t>
        <w:br/>
        <w:t>cd dashboard</w:t>
        <w:br/>
        <w:t>npm run build</w:t>
        <w:br/>
        <w:t># Copy build into md-budget-site/public/deep-dive (see 7.9)</w:t>
        <w:br/>
        <w:t>cd &lt;path-to&gt;/md-budget-site</w:t>
        <w:br/>
        <w:t>git add public/deep-dive</w:t>
        <w:br/>
        <w:t>git commit -m "deep-dive: describe what changed"</w:t>
        <w:br/>
        <w:t>git push origin master</w:t>
      </w:r>
    </w:p>
    <w:p>
      <w:pPr>
        <w:spacing w:after="120" w:line="300" w:lineRule="auto"/>
      </w:pPr>
      <w:r>
        <w:t>Same as 8.1 from this point: Netlify rebuilds, the new Deep-Dive ships.</w:t>
      </w:r>
    </w:p>
    <w:p>
      <w:pPr>
        <w:keepNext/>
        <w:spacing w:before="240" w:after="120"/>
      </w:pPr>
      <w:r>
        <w:rPr>
          <w:rFonts w:ascii="Calibri" w:hAnsi="Calibri"/>
          <w:b/>
          <w:i w:val="0"/>
          <w:color w:val="802CD7"/>
          <w:sz w:val="26"/>
        </w:rPr>
        <w:t>8.3 Refresh the data for a new fiscal year</w:t>
      </w:r>
    </w:p>
    <w:p>
      <w:pPr>
        <w:spacing w:after="120" w:line="300" w:lineRule="auto"/>
      </w:pPr>
      <w:r>
        <w:t>When the FY2028 budget drops:</w:t>
      </w:r>
    </w:p>
    <w:p>
      <w:pPr>
        <w:spacing w:after="120" w:line="300" w:lineRule="auto"/>
      </w:pPr>
      <w:r>
        <w:t xml:space="preserve">1. </w:t>
      </w:r>
      <w:r>
        <w:rPr>
          <w:b/>
        </w:rPr>
        <w:t>Home page numbers</w:t>
      </w:r>
      <w:r>
        <w:t xml:space="preserve">: edit </w:t>
      </w:r>
      <w:r>
        <w:rPr>
          <w:rFonts w:ascii="Consolas" w:hAnsi="Consolas"/>
          <w:color w:val="802CD7"/>
          <w:sz w:val="20"/>
        </w:rPr>
        <w:t>components/KpiRow.tsx</w:t>
      </w:r>
      <w:r>
        <w:t xml:space="preserve">, </w:t>
      </w:r>
      <w:r>
        <w:rPr>
          <w:rFonts w:ascii="Consolas" w:hAnsi="Consolas"/>
          <w:color w:val="802CD7"/>
          <w:sz w:val="20"/>
        </w:rPr>
        <w:t>components/Carousel.tsx</w:t>
      </w:r>
      <w:r>
        <w:t xml:space="preserve">, </w:t>
      </w:r>
      <w:r>
        <w:rPr>
          <w:rFonts w:ascii="Consolas" w:hAnsi="Consolas"/>
          <w:color w:val="802CD7"/>
          <w:sz w:val="20"/>
        </w:rPr>
        <w:t>app/page.tsx</w:t>
      </w:r>
      <w:r>
        <w:t xml:space="preserve"> (the ticker), </w:t>
      </w:r>
      <w:r>
        <w:rPr>
          <w:rFonts w:ascii="Consolas" w:hAnsi="Consolas"/>
          <w:color w:val="802CD7"/>
          <w:sz w:val="20"/>
        </w:rPr>
        <w:t>app/layout.tsx</w:t>
      </w:r>
      <w:r>
        <w:t xml:space="preserve"> (the footer), and any chart components whose data is hardcoded. 2. </w:t>
      </w:r>
      <w:r>
        <w:rPr>
          <w:b/>
        </w:rPr>
        <w:t>Deep-Dive data</w:t>
      </w:r>
      <w:r>
        <w:t xml:space="preserve">: load the new fiscal year's CSVs via </w:t>
      </w:r>
      <w:r>
        <w:rPr>
          <w:rFonts w:ascii="Consolas" w:hAnsi="Consolas"/>
          <w:color w:val="802CD7"/>
          <w:sz w:val="20"/>
        </w:rPr>
        <w:t>python load_data.py</w:t>
      </w:r>
      <w:r>
        <w:t xml:space="preserve">, re-run DBT, optionally re-run AI classification for new programs, rebuild Evidence, and publish (see 7.9). 3. </w:t>
      </w:r>
      <w:r>
        <w:rPr>
          <w:b/>
        </w:rPr>
        <w:t>Source PDFs</w:t>
      </w:r>
      <w:r>
        <w:t>: update the citation tables on the Methodology page (</w:t>
      </w:r>
      <w:r>
        <w:rPr>
          <w:rFonts w:ascii="Consolas" w:hAnsi="Consolas"/>
          <w:color w:val="802CD7"/>
          <w:sz w:val="20"/>
        </w:rPr>
        <w:t>app/methodology/page.tsx</w:t>
      </w:r>
      <w:r>
        <w:t>) if any new source documents are added.</w:t>
      </w:r>
    </w:p>
    <w:p>
      <w:pPr>
        <w:spacing w:after="120" w:line="300" w:lineRule="auto"/>
      </w:pPr>
      <w:r>
        <w:t xml:space="preserve">A grep for the current fiscal year (e.g. </w:t>
      </w:r>
      <w:r>
        <w:rPr>
          <w:rFonts w:ascii="Consolas" w:hAnsi="Consolas"/>
          <w:color w:val="802CD7"/>
          <w:sz w:val="20"/>
        </w:rPr>
        <w:t>grep -rn "FY2027" components app</w:t>
      </w:r>
      <w:r>
        <w:t>) is the quickest way to find every hardcoded reference.</w:t>
      </w:r>
    </w:p>
    <w:p>
      <w:pPr>
        <w:jc w:val="center"/>
      </w:pPr>
      <w:r>
        <w:rPr>
          <w:rFonts w:ascii="Calibri" w:hAnsi="Calibri"/>
          <w:b w:val="0"/>
          <w:i w:val="0"/>
          <w:color w:val="555555"/>
          <w:sz w:val="18"/>
        </w:rPr>
        <w:t>──────────────────────────────────────────────────</w:t>
      </w:r>
    </w:p>
    <w:p>
      <w:pPr>
        <w:keepNext/>
        <w:spacing w:before="240" w:after="120"/>
      </w:pPr>
      <w:r>
        <w:rPr>
          <w:rFonts w:ascii="Calibri" w:hAnsi="Calibri"/>
          <w:b/>
          <w:i w:val="0"/>
          <w:color w:val="6321A5"/>
          <w:sz w:val="32"/>
        </w:rPr>
        <w:t>9. Future Scope</w:t>
      </w:r>
    </w:p>
    <w:p>
      <w:pPr>
        <w:keepNext/>
        <w:spacing w:before="240" w:after="120"/>
      </w:pPr>
      <w:r>
        <w:rPr>
          <w:rFonts w:ascii="Calibri" w:hAnsi="Calibri"/>
          <w:b/>
          <w:i w:val="0"/>
          <w:color w:val="802CD7"/>
          <w:sz w:val="26"/>
        </w:rPr>
        <w:t>9.1 Deploying on a custom domain (GoDaddy or similar registrar)</w:t>
      </w:r>
    </w:p>
    <w:p>
      <w:pPr>
        <w:spacing w:after="120" w:line="300" w:lineRule="auto"/>
      </w:pPr>
      <w:r>
        <w:t xml:space="preserve">The site currently runs at </w:t>
      </w:r>
      <w:r>
        <w:rPr>
          <w:rFonts w:ascii="Consolas" w:hAnsi="Consolas"/>
          <w:color w:val="802CD7"/>
          <w:sz w:val="20"/>
        </w:rPr>
        <w:t>mdbudgetintel.netlify.app</w:t>
      </w:r>
      <w:r>
        <w:t xml:space="preserve"> (a Netlify subdomain). To deploy on an organization-owned domain, the following one-time setup is required:</w:t>
      </w:r>
    </w:p>
    <w:p>
      <w:pPr>
        <w:spacing w:after="120" w:line="300" w:lineRule="auto"/>
      </w:pPr>
      <w:r>
        <w:t xml:space="preserve">#### Step 1 — Buy a domain Purchase the desired domain at GoDaddy, Namecheap, Google Domains, or any registrar. Example: </w:t>
      </w:r>
      <w:r>
        <w:rPr>
          <w:rFonts w:ascii="Consolas" w:hAnsi="Consolas"/>
          <w:color w:val="802CD7"/>
          <w:sz w:val="20"/>
        </w:rPr>
        <w:t>marylandbudgetintel.com</w:t>
      </w:r>
      <w:r>
        <w:t>.</w:t>
      </w:r>
    </w:p>
    <w:p>
      <w:pPr>
        <w:spacing w:after="120" w:line="300" w:lineRule="auto"/>
      </w:pPr>
      <w:r>
        <w:t xml:space="preserve">#### Step 2 — Tell Netlify to expect it 1. Open https://app.netlify.com and select the MBIT site. 2. Click </w:t>
      </w:r>
      <w:r>
        <w:rPr>
          <w:b/>
        </w:rPr>
        <w:t>Site configuration → Domains → Add a domain</w:t>
      </w:r>
      <w:r>
        <w:t xml:space="preserve">. 3. Enter your domain name (e.g. </w:t>
      </w:r>
      <w:r>
        <w:rPr>
          <w:rFonts w:ascii="Consolas" w:hAnsi="Consolas"/>
          <w:color w:val="802CD7"/>
          <w:sz w:val="20"/>
        </w:rPr>
        <w:t>marylandbudgetintel.com</w:t>
      </w:r>
      <w:r>
        <w:t xml:space="preserve">) and click </w:t>
      </w:r>
      <w:r>
        <w:rPr>
          <w:b/>
        </w:rPr>
        <w:t>Verify</w:t>
      </w:r>
      <w:r>
        <w:t>. 4. Netlify will display the DNS records you need to add at your registrar.</w:t>
      </w:r>
    </w:p>
    <w:p>
      <w:pPr>
        <w:spacing w:after="120" w:line="300" w:lineRule="auto"/>
      </w:pPr>
      <w:r>
        <w:t>#### Step 3 — Update DNS at your registrar In your registrar's DNS panel:</w:t>
      </w:r>
    </w:p>
    <w:p>
      <w:pPr>
        <w:pStyle w:val="ListBullet"/>
        <w:spacing w:after="60"/>
      </w:pPr>
      <w:r>
        <w:t xml:space="preserve">Add an </w:t>
      </w:r>
      <w:r>
        <w:rPr>
          <w:b/>
        </w:rPr>
        <w:t>A record</w:t>
      </w:r>
      <w:r>
        <w:t xml:space="preserve">: Host = </w:t>
      </w:r>
      <w:r>
        <w:rPr>
          <w:rFonts w:ascii="Consolas" w:hAnsi="Consolas"/>
          <w:color w:val="802CD7"/>
          <w:sz w:val="20"/>
        </w:rPr>
        <w:t>@</w:t>
      </w:r>
      <w:r>
        <w:t xml:space="preserve">, Value = </w:t>
      </w:r>
      <w:r>
        <w:rPr>
          <w:rFonts w:ascii="Consolas" w:hAnsi="Consolas"/>
          <w:color w:val="802CD7"/>
          <w:sz w:val="20"/>
        </w:rPr>
        <w:t>75.2.60.5</w:t>
      </w:r>
      <w:r>
        <w:t xml:space="preserve"> (Netlify's load balancer IP)</w:t>
      </w:r>
    </w:p>
    <w:p>
      <w:pPr>
        <w:pStyle w:val="ListBullet"/>
        <w:spacing w:after="60"/>
      </w:pPr>
      <w:r>
        <w:t xml:space="preserve">Add a </w:t>
      </w:r>
      <w:r>
        <w:rPr>
          <w:b/>
        </w:rPr>
        <w:t>CNAME record</w:t>
      </w:r>
      <w:r>
        <w:t xml:space="preserve">: Host = </w:t>
      </w:r>
      <w:r>
        <w:rPr>
          <w:rFonts w:ascii="Consolas" w:hAnsi="Consolas"/>
          <w:color w:val="802CD7"/>
          <w:sz w:val="20"/>
        </w:rPr>
        <w:t>www</w:t>
      </w:r>
      <w:r>
        <w:t xml:space="preserve">, Value = </w:t>
      </w:r>
      <w:r>
        <w:rPr>
          <w:rFonts w:ascii="Consolas" w:hAnsi="Consolas"/>
          <w:color w:val="802CD7"/>
          <w:sz w:val="20"/>
        </w:rPr>
        <w:t>&lt;your-site&gt;.netlify.app</w:t>
      </w:r>
    </w:p>
    <w:p>
      <w:pPr>
        <w:spacing w:after="120" w:line="300" w:lineRule="auto"/>
      </w:pPr>
      <w:r>
        <w:t>(The exact IP and target may differ; always copy from what Netlify shows you in step 2.)</w:t>
      </w:r>
    </w:p>
    <w:p>
      <w:pPr>
        <w:spacing w:after="120" w:line="300" w:lineRule="auto"/>
      </w:pPr>
      <w:r>
        <w:t>#### Step 4 — Wait and verify DNS propagation takes 10 minutes to 24 hours, typically under an hour. Once Netlify shows a green checkmark next to your domain, the site is live on the new domain.</w:t>
      </w:r>
    </w:p>
    <w:p>
      <w:pPr>
        <w:spacing w:after="120" w:line="300" w:lineRule="auto"/>
      </w:pPr>
      <w:r>
        <w:t xml:space="preserve">#### Step 5 — Turn on HTTPS In </w:t>
      </w:r>
      <w:r>
        <w:rPr>
          <w:b/>
        </w:rPr>
        <w:t>Site configuration → Domains → HTTPS</w:t>
      </w:r>
      <w:r>
        <w:t xml:space="preserve">, click </w:t>
      </w:r>
      <w:r>
        <w:rPr>
          <w:b/>
        </w:rPr>
        <w:t>Provision certificate</w:t>
      </w:r>
      <w:r>
        <w:t xml:space="preserve">. Netlify uses Let's Encrypt; it is free and renews automatically. Within a few minutes, </w:t>
      </w:r>
      <w:r>
        <w:rPr>
          <w:rFonts w:ascii="Consolas" w:hAnsi="Consolas"/>
          <w:color w:val="802CD7"/>
          <w:sz w:val="20"/>
        </w:rPr>
        <w:t>https://</w:t>
      </w:r>
      <w:r>
        <w:t xml:space="preserve"> will work and HTTP traffic will redirect to HTTPS.</w:t>
      </w:r>
    </w:p>
    <w:p>
      <w:pPr>
        <w:spacing w:after="120" w:line="300" w:lineRule="auto"/>
      </w:pPr>
      <w:r>
        <w:t xml:space="preserve">#### Step 6 — Set the primary domain Designate the custom domain as the primary in the same Domains panel. Old </w:t>
      </w:r>
      <w:r>
        <w:rPr>
          <w:rFonts w:ascii="Consolas" w:hAnsi="Consolas"/>
          <w:color w:val="802CD7"/>
          <w:sz w:val="20"/>
        </w:rPr>
        <w:t>mdbudgetintel.netlify.app</w:t>
      </w:r>
      <w:r>
        <w:t xml:space="preserve"> URLs will permanently redirect to it.</w:t>
      </w:r>
    </w:p>
    <w:p>
      <w:pPr>
        <w:spacing w:after="120" w:line="300" w:lineRule="auto"/>
      </w:pPr>
      <w:r>
        <w:t>No code changes are needed on either application side. Both the home page and the Deep-Dive continue to work because they use relative URLs.</w:t>
      </w:r>
    </w:p>
    <w:p>
      <w:pPr>
        <w:spacing w:after="120" w:line="300" w:lineRule="auto"/>
      </w:pPr>
      <w:r>
        <w:t xml:space="preserve">#### Alternative: deploying under an existing organization domain If publishing under an existing umbrella (for example </w:t>
      </w:r>
      <w:r>
        <w:rPr>
          <w:rFonts w:ascii="Consolas" w:hAnsi="Consolas"/>
          <w:color w:val="802CD7"/>
          <w:sz w:val="20"/>
        </w:rPr>
        <w:t>budget.maryland.gov</w:t>
      </w:r>
      <w:r>
        <w:t xml:space="preserve"> or </w:t>
      </w:r>
      <w:r>
        <w:rPr>
          <w:rFonts w:ascii="Consolas" w:hAnsi="Consolas"/>
          <w:color w:val="802CD7"/>
          <w:sz w:val="20"/>
        </w:rPr>
        <w:t>budget.nxt.com</w:t>
      </w:r>
      <w:r>
        <w:t xml:space="preserve">), coordinate with the domain administrator to add a CNAME record pointing to </w:t>
      </w:r>
      <w:r>
        <w:rPr>
          <w:rFonts w:ascii="Consolas" w:hAnsi="Consolas"/>
          <w:color w:val="802CD7"/>
          <w:sz w:val="20"/>
        </w:rPr>
        <w:t>&lt;your-site&gt;.netlify.app</w:t>
      </w:r>
      <w:r>
        <w:t>. The remaining steps (4–6) are identical.</w:t>
      </w:r>
    </w:p>
    <w:p>
      <w:pPr>
        <w:keepNext/>
        <w:spacing w:before="240" w:after="120"/>
      </w:pPr>
      <w:r>
        <w:rPr>
          <w:rFonts w:ascii="Calibri" w:hAnsi="Calibri"/>
          <w:b/>
          <w:i w:val="0"/>
          <w:color w:val="802CD7"/>
          <w:sz w:val="26"/>
        </w:rPr>
        <w:t>9.2 Feature improvements</w:t>
      </w:r>
    </w:p>
    <w:p>
      <w:pPr>
        <w:pStyle w:val="ListBullet"/>
        <w:spacing w:after="60"/>
      </w:pPr>
      <w:r>
        <w:rPr>
          <w:b/>
        </w:rPr>
        <w:t>Automated data refresh.</w:t>
      </w:r>
      <w:r>
        <w:t xml:space="preserve"> A scheduled GitHub Action that pulls the DBM open data portal, runs DBT, rebuilds Evidence, and opens a PR with the refreshed bundle.</w:t>
      </w:r>
    </w:p>
    <w:p>
      <w:pPr>
        <w:pStyle w:val="ListBullet"/>
        <w:spacing w:after="60"/>
      </w:pPr>
      <w:r>
        <w:rPr>
          <w:b/>
        </w:rPr>
        <w:t>PDF export per chart.</w:t>
      </w:r>
      <w:r>
        <w:t xml:space="preserve"> A "Download as PNG" or "Export as PDF" button on each carousel slide.</w:t>
      </w:r>
    </w:p>
    <w:p>
      <w:pPr>
        <w:pStyle w:val="ListBullet"/>
        <w:spacing w:after="60"/>
      </w:pPr>
      <w:r>
        <w:rPr>
          <w:b/>
        </w:rPr>
        <w:t>Shareable chart links.</w:t>
      </w:r>
      <w:r>
        <w:t xml:space="preserve"> Anchor URLs like </w:t>
      </w:r>
      <w:r>
        <w:rPr>
          <w:rFonts w:ascii="Consolas" w:hAnsi="Consolas"/>
          <w:color w:val="802CD7"/>
          <w:sz w:val="20"/>
        </w:rPr>
        <w:t>/#chart-7</w:t>
      </w:r>
      <w:r>
        <w:t xml:space="preserve"> that scroll to a specific carousel slide.</w:t>
      </w:r>
    </w:p>
    <w:p>
      <w:pPr>
        <w:pStyle w:val="ListBullet"/>
        <w:spacing w:after="60"/>
      </w:pPr>
      <w:r>
        <w:rPr>
          <w:b/>
        </w:rPr>
        <w:t>Peer-state benchmarking.</w:t>
      </w:r>
      <w:r>
        <w:t xml:space="preserve"> Add Virginia, Pennsylvania, and North Carolina to the carousel for cross-state context.</w:t>
      </w:r>
    </w:p>
    <w:p>
      <w:pPr>
        <w:pStyle w:val="ListBullet"/>
        <w:spacing w:after="60"/>
      </w:pPr>
      <w:r>
        <w:rPr>
          <w:b/>
        </w:rPr>
        <w:t>Subscriber alerts.</w:t>
      </w:r>
      <w:r>
        <w:t xml:space="preserve"> RSS or email notifications when a new ACFR / JCR / DBM document is published.</w:t>
      </w:r>
    </w:p>
    <w:p>
      <w:pPr>
        <w:pStyle w:val="ListBullet"/>
        <w:spacing w:after="60"/>
      </w:pPr>
      <w:r>
        <w:rPr>
          <w:b/>
        </w:rPr>
        <w:t>Bond rating context.</w:t>
      </w:r>
      <w:r>
        <w:t xml:space="preserve"> Add Maryland's AAA credit rating and outlook as a KPI for fiscal-health context.</w:t>
      </w:r>
    </w:p>
    <w:p>
      <w:pPr>
        <w:pStyle w:val="ListBullet"/>
        <w:spacing w:after="60"/>
      </w:pPr>
      <w:r>
        <w:rPr>
          <w:b/>
        </w:rPr>
        <w:t>Executive PDF brief.</w:t>
      </w:r>
      <w:r>
        <w:t xml:space="preserve"> A one-page printable summary generator for legislative offices.</w:t>
      </w:r>
    </w:p>
    <w:p>
      <w:pPr>
        <w:pStyle w:val="ListBullet"/>
        <w:spacing w:after="60"/>
      </w:pPr>
      <w:r>
        <w:rPr>
          <w:b/>
        </w:rPr>
        <w:t>CI/CD pipeline.</w:t>
      </w:r>
      <w:r>
        <w:t xml:space="preserve"> GitHub Actions for lint, type-check, and build-on-PR.</w:t>
      </w:r>
    </w:p>
    <w:p>
      <w:pPr>
        <w:pStyle w:val="ListBullet"/>
        <w:spacing w:after="60"/>
      </w:pPr>
      <w:r>
        <w:rPr>
          <w:b/>
        </w:rPr>
        <w:t>Production monitoring.</w:t>
      </w:r>
      <w:r>
        <w:t xml:space="preserve"> Sentry for error tracking, Plausible or PostHog for analytics.</w:t>
      </w:r>
    </w:p>
    <w:p>
      <w:pPr>
        <w:keepNext/>
        <w:spacing w:before="240" w:after="120"/>
      </w:pPr>
      <w:r>
        <w:rPr>
          <w:rFonts w:ascii="Calibri" w:hAnsi="Calibri"/>
          <w:b/>
          <w:i w:val="0"/>
          <w:color w:val="802CD7"/>
          <w:sz w:val="26"/>
        </w:rPr>
        <w:t>9.3 Architectural improvements</w:t>
      </w:r>
    </w:p>
    <w:p>
      <w:pPr>
        <w:pStyle w:val="ListBullet"/>
        <w:spacing w:after="60"/>
      </w:pPr>
      <w:r>
        <w:rPr>
          <w:b/>
        </w:rPr>
        <w:t>Move the Deep-Dive build into the main repo's CI.</w:t>
      </w:r>
      <w:r>
        <w:t xml:space="preserve"> Right now the Deep-Dive is built by hand and the output is committed. The simplest improvement is a GitHub Action in the home-page repo that runs </w:t>
      </w:r>
      <w:r>
        <w:rPr>
          <w:rFonts w:ascii="Consolas" w:hAnsi="Consolas"/>
          <w:color w:val="802CD7"/>
          <w:sz w:val="20"/>
        </w:rPr>
        <w:t>dashboard/npm run build</w:t>
      </w:r>
      <w:r>
        <w:t xml:space="preserve"> before deploy.</w:t>
      </w:r>
    </w:p>
    <w:p>
      <w:pPr>
        <w:pStyle w:val="ListBullet"/>
        <w:spacing w:after="60"/>
      </w:pPr>
      <w:r>
        <w:rPr>
          <w:b/>
        </w:rPr>
        <w:t>Pin the Claude model.</w:t>
      </w:r>
      <w:r>
        <w:t xml:space="preserve"> The classification scripts read </w:t>
      </w:r>
      <w:r>
        <w:rPr>
          <w:rFonts w:ascii="Consolas" w:hAnsi="Consolas"/>
          <w:color w:val="802CD7"/>
          <w:sz w:val="20"/>
        </w:rPr>
        <w:t>CLAUDE_MODEL</w:t>
      </w:r>
      <w:r>
        <w:t xml:space="preserve"> from the environment. Pin a specific model version in </w:t>
      </w:r>
      <w:r>
        <w:rPr>
          <w:rFonts w:ascii="Consolas" w:hAnsi="Consolas"/>
          <w:color w:val="802CD7"/>
          <w:sz w:val="20"/>
        </w:rPr>
        <w:t>requirements.txt</w:t>
      </w:r>
      <w:r>
        <w:t xml:space="preserve"> or a config file so classification stays reproducible even if Anthropic deprecates a model alias.</w:t>
      </w:r>
    </w:p>
    <w:p>
      <w:pPr>
        <w:pStyle w:val="ListBullet"/>
        <w:spacing w:after="60"/>
      </w:pPr>
      <w:r>
        <w:rPr>
          <w:b/>
        </w:rPr>
        <w:t>Test the classification output.</w:t>
      </w:r>
      <w:r>
        <w:t xml:space="preserve"> Add a small held-out test set of program → tower mappings and assert the classifier reproduces them. Wire into the deploy gate.</w:t>
      </w:r>
    </w:p>
    <w:p>
      <w:pPr>
        <w:jc w:val="center"/>
      </w:pPr>
      <w:r>
        <w:rPr>
          <w:rFonts w:ascii="Calibri" w:hAnsi="Calibri"/>
          <w:b w:val="0"/>
          <w:i w:val="0"/>
          <w:color w:val="555555"/>
          <w:sz w:val="18"/>
        </w:rPr>
        <w:t>──────────────────────────────────────────────────</w:t>
      </w:r>
    </w:p>
    <w:p>
      <w:pPr>
        <w:keepNext/>
        <w:spacing w:before="240" w:after="120"/>
      </w:pPr>
      <w:r>
        <w:rPr>
          <w:rFonts w:ascii="Calibri" w:hAnsi="Calibri"/>
          <w:b/>
          <w:i w:val="0"/>
          <w:color w:val="6321A5"/>
          <w:sz w:val="32"/>
        </w:rPr>
        <w:t>10. Known Limitations</w:t>
      </w:r>
    </w:p>
    <w:p>
      <w:pPr>
        <w:pStyle w:val="ListBullet"/>
        <w:spacing w:after="60"/>
      </w:pPr>
      <w:r>
        <w:rPr>
          <w:b/>
        </w:rPr>
        <w:t>County allocations are modeled.</w:t>
      </w:r>
      <w:r>
        <w:t xml:space="preserve"> The county map uses program-share-of-population modeling on Census data, not direct county-level audited spending (which is not published by Maryland). Modeled values are labeled.</w:t>
      </w:r>
    </w:p>
    <w:p>
      <w:pPr>
        <w:pStyle w:val="ListBullet"/>
        <w:spacing w:after="60"/>
      </w:pPr>
      <w:r>
        <w:rPr>
          <w:b/>
        </w:rPr>
        <w:t>Home-page projections stop at FY2030.</w:t>
      </w:r>
      <w:r>
        <w:t xml:space="preserve"> The structural-gap projection uses a linear slope from FY2023–FY2025 audited actuals. This is a trajectory, not a forecast.</w:t>
      </w:r>
    </w:p>
    <w:p>
      <w:pPr>
        <w:pStyle w:val="ListBullet"/>
        <w:spacing w:after="60"/>
      </w:pPr>
      <w:r>
        <w:rPr>
          <w:b/>
        </w:rPr>
        <w:t>AI classification consumes API tokens.</w:t>
      </w:r>
      <w:r>
        <w:t xml:space="preserve"> Re-running the cost-pool mapper or tower classifier from scratch on the full dataset takes hundreds of Claude calls. Caching is in place; an invalid API key will halt the pipeline.</w:t>
      </w:r>
    </w:p>
    <w:p>
      <w:pPr>
        <w:pStyle w:val="ListBullet"/>
        <w:spacing w:after="60"/>
      </w:pPr>
      <w:r>
        <w:rPr>
          <w:b/>
        </w:rPr>
        <w:t>DBT marts depend on input schema.</w:t>
      </w:r>
      <w:r>
        <w:t xml:space="preserve"> If </w:t>
      </w:r>
      <w:r>
        <w:rPr>
          <w:rFonts w:ascii="Consolas" w:hAnsi="Consolas"/>
          <w:color w:val="802CD7"/>
          <w:sz w:val="20"/>
        </w:rPr>
        <w:t>load_data.py</w:t>
      </w:r>
      <w:r>
        <w:t>'s input CSV columns change, downstream DBT models may need updates. The dashboard's column references must match.</w:t>
      </w:r>
    </w:p>
    <w:p>
      <w:pPr>
        <w:pStyle w:val="ListBullet"/>
        <w:spacing w:after="60"/>
      </w:pPr>
      <w:r>
        <w:rPr>
          <w:b/>
        </w:rPr>
        <w:t>No authenticated users.</w:t>
      </w:r>
      <w:r>
        <w:t xml:space="preserve"> The site is fully public. There is no user account system, no usage tracking, and no rate limiting.</w:t>
      </w:r>
    </w:p>
    <w:p>
      <w:pPr>
        <w:jc w:val="center"/>
      </w:pPr>
      <w:r>
        <w:rPr>
          <w:rFonts w:ascii="Calibri" w:hAnsi="Calibri"/>
          <w:b w:val="0"/>
          <w:i w:val="0"/>
          <w:color w:val="555555"/>
          <w:sz w:val="18"/>
        </w:rPr>
        <w:t>──────────────────────────────────────────────────</w:t>
      </w:r>
    </w:p>
    <w:p>
      <w:pPr>
        <w:keepNext/>
        <w:spacing w:before="240" w:after="120"/>
      </w:pPr>
      <w:r>
        <w:rPr>
          <w:rFonts w:ascii="Calibri" w:hAnsi="Calibri"/>
          <w:b/>
          <w:i w:val="0"/>
          <w:color w:val="6321A5"/>
          <w:sz w:val="32"/>
        </w:rPr>
        <w:t>11. Glossary</w:t>
      </w:r>
    </w:p>
    <w:tbl>
      <w:tblPr>
        <w:tblStyle w:val="LightGrid-Accent4"/>
        <w:tblW w:type="auto" w:w="0"/>
        <w:tblLook w:firstColumn="1" w:firstRow="1" w:lastColumn="0" w:lastRow="0" w:noHBand="0" w:noVBand="1" w:val="04A0"/>
      </w:tblPr>
      <w:tblGrid>
        <w:gridCol w:w="4824"/>
        <w:gridCol w:w="4824"/>
      </w:tblGrid>
      <w:tr>
        <w:tc>
          <w:tcPr>
            <w:tcW w:type="dxa" w:w="4824"/>
          </w:tcPr>
          <w:p>
            <w:r/>
            <w:r>
              <w:rPr>
                <w:rFonts w:ascii="Calibri" w:hAnsi="Calibri"/>
                <w:b/>
                <w:i w:val="0"/>
                <w:color w:val="211030"/>
                <w:sz w:val="20"/>
              </w:rPr>
              <w:t>Term</w:t>
            </w:r>
          </w:p>
        </w:tc>
        <w:tc>
          <w:tcPr>
            <w:tcW w:type="dxa" w:w="4824"/>
          </w:tcPr>
          <w:p>
            <w:r/>
            <w:r>
              <w:rPr>
                <w:rFonts w:ascii="Calibri" w:hAnsi="Calibri"/>
                <w:b/>
                <w:i w:val="0"/>
                <w:color w:val="211030"/>
                <w:sz w:val="20"/>
              </w:rPr>
              <w:t>Meaning</w:t>
            </w:r>
          </w:p>
        </w:tc>
      </w:tr>
      <w:tr>
        <w:tc>
          <w:tcPr>
            <w:tcW w:type="dxa" w:w="4824"/>
          </w:tcPr>
          <w:p>
            <w:r>
              <w:rPr>
                <w:color w:val="121212"/>
                <w:sz w:val="20"/>
              </w:rPr>
            </w:r>
            <w:r>
              <w:rPr>
                <w:color w:val="121212"/>
                <w:sz w:val="20"/>
              </w:rPr>
              <w:t>ACFR</w:t>
            </w:r>
          </w:p>
        </w:tc>
        <w:tc>
          <w:tcPr>
            <w:tcW w:type="dxa" w:w="4824"/>
          </w:tcPr>
          <w:p>
            <w:r>
              <w:rPr>
                <w:color w:val="121212"/>
                <w:sz w:val="20"/>
              </w:rPr>
            </w:r>
            <w:r>
              <w:rPr>
                <w:color w:val="121212"/>
                <w:sz w:val="20"/>
              </w:rPr>
              <w:t>Annual Comprehensive Financial Report — Maryland's audited financial statements, published yearly by the Comptroller.</w:t>
            </w:r>
          </w:p>
        </w:tc>
      </w:tr>
      <w:tr>
        <w:tc>
          <w:tcPr>
            <w:tcW w:type="dxa" w:w="4824"/>
          </w:tcPr>
          <w:p>
            <w:r>
              <w:rPr>
                <w:color w:val="121212"/>
                <w:sz w:val="20"/>
              </w:rPr>
            </w:r>
            <w:r>
              <w:rPr>
                <w:color w:val="121212"/>
                <w:sz w:val="20"/>
              </w:rPr>
              <w:t>Anomaly</w:t>
            </w:r>
          </w:p>
        </w:tc>
        <w:tc>
          <w:tcPr>
            <w:tcW w:type="dxa" w:w="4824"/>
          </w:tcPr>
          <w:p>
            <w:r>
              <w:rPr>
                <w:color w:val="121212"/>
                <w:sz w:val="20"/>
              </w:rPr>
            </w:r>
            <w:r>
              <w:rPr>
                <w:color w:val="121212"/>
                <w:sz w:val="20"/>
              </w:rPr>
              <w:t>A spending value (year-over-year change) that exceeds the statistical-deviation threshold configured in the Deep-Dive.</w:t>
            </w:r>
          </w:p>
        </w:tc>
      </w:tr>
      <w:tr>
        <w:tc>
          <w:tcPr>
            <w:tcW w:type="dxa" w:w="4824"/>
          </w:tcPr>
          <w:p>
            <w:r>
              <w:rPr>
                <w:color w:val="121212"/>
                <w:sz w:val="20"/>
              </w:rPr>
            </w:r>
            <w:r>
              <w:rPr>
                <w:color w:val="121212"/>
                <w:sz w:val="20"/>
              </w:rPr>
              <w:t>Blueprint</w:t>
            </w:r>
          </w:p>
        </w:tc>
        <w:tc>
          <w:tcPr>
            <w:tcW w:type="dxa" w:w="4824"/>
          </w:tcPr>
          <w:p>
            <w:r>
              <w:rPr>
                <w:color w:val="121212"/>
                <w:sz w:val="20"/>
              </w:rPr>
            </w:r>
            <w:r>
              <w:rPr>
                <w:color w:val="121212"/>
                <w:sz w:val="20"/>
              </w:rPr>
              <w:t>The Blueprint for Maryland's Future — the 2021 state law mandating K-12 education funding levels.</w:t>
            </w:r>
          </w:p>
        </w:tc>
      </w:tr>
      <w:tr>
        <w:tc>
          <w:tcPr>
            <w:tcW w:type="dxa" w:w="4824"/>
          </w:tcPr>
          <w:p>
            <w:r>
              <w:rPr>
                <w:color w:val="121212"/>
                <w:sz w:val="20"/>
              </w:rPr>
            </w:r>
            <w:r>
              <w:rPr>
                <w:color w:val="121212"/>
                <w:sz w:val="20"/>
              </w:rPr>
              <w:t>Capstone</w:t>
            </w:r>
          </w:p>
        </w:tc>
        <w:tc>
          <w:tcPr>
            <w:tcW w:type="dxa" w:w="4824"/>
          </w:tcPr>
          <w:p>
            <w:r>
              <w:rPr>
                <w:color w:val="121212"/>
                <w:sz w:val="20"/>
              </w:rPr>
            </w:r>
            <w:r>
              <w:rPr>
                <w:color w:val="121212"/>
                <w:sz w:val="20"/>
              </w:rPr>
              <w:t>The final integrative project of the iSchool master's program.</w:t>
            </w:r>
          </w:p>
        </w:tc>
      </w:tr>
      <w:tr>
        <w:tc>
          <w:tcPr>
            <w:tcW w:type="dxa" w:w="4824"/>
          </w:tcPr>
          <w:p>
            <w:r>
              <w:rPr>
                <w:color w:val="121212"/>
                <w:sz w:val="20"/>
              </w:rPr>
            </w:r>
            <w:r>
              <w:rPr>
                <w:color w:val="121212"/>
                <w:sz w:val="20"/>
              </w:rPr>
              <w:t>CAGR</w:t>
            </w:r>
          </w:p>
        </w:tc>
        <w:tc>
          <w:tcPr>
            <w:tcW w:type="dxa" w:w="4824"/>
          </w:tcPr>
          <w:p>
            <w:r>
              <w:rPr>
                <w:color w:val="121212"/>
                <w:sz w:val="20"/>
              </w:rPr>
            </w:r>
            <w:r>
              <w:rPr>
                <w:color w:val="121212"/>
                <w:sz w:val="20"/>
              </w:rPr>
              <w:t>Compound annual growth rate.</w:t>
            </w:r>
          </w:p>
        </w:tc>
      </w:tr>
      <w:tr>
        <w:tc>
          <w:tcPr>
            <w:tcW w:type="dxa" w:w="4824"/>
          </w:tcPr>
          <w:p>
            <w:r>
              <w:rPr>
                <w:color w:val="121212"/>
                <w:sz w:val="20"/>
              </w:rPr>
            </w:r>
            <w:r>
              <w:rPr>
                <w:color w:val="121212"/>
                <w:sz w:val="20"/>
              </w:rPr>
              <w:t>Carousel</w:t>
            </w:r>
          </w:p>
        </w:tc>
        <w:tc>
          <w:tcPr>
            <w:tcW w:type="dxa" w:w="4824"/>
          </w:tcPr>
          <w:p>
            <w:r>
              <w:rPr>
                <w:color w:val="121212"/>
                <w:sz w:val="20"/>
              </w:rPr>
            </w:r>
            <w:r>
              <w:rPr>
                <w:color w:val="121212"/>
                <w:sz w:val="20"/>
              </w:rPr>
              <w:t>The horizontal scrolling strip of ten chart slides on the home page.</w:t>
            </w:r>
          </w:p>
        </w:tc>
      </w:tr>
      <w:tr>
        <w:tc>
          <w:tcPr>
            <w:tcW w:type="dxa" w:w="4824"/>
          </w:tcPr>
          <w:p>
            <w:r>
              <w:rPr>
                <w:color w:val="121212"/>
                <w:sz w:val="20"/>
              </w:rPr>
            </w:r>
            <w:r>
              <w:rPr>
                <w:color w:val="121212"/>
                <w:sz w:val="20"/>
              </w:rPr>
              <w:t>Citation</w:t>
            </w:r>
          </w:p>
        </w:tc>
        <w:tc>
          <w:tcPr>
            <w:tcW w:type="dxa" w:w="4824"/>
          </w:tcPr>
          <w:p>
            <w:r>
              <w:rPr>
                <w:color w:val="121212"/>
                <w:sz w:val="20"/>
              </w:rPr>
            </w:r>
            <w:r>
              <w:rPr>
                <w:color w:val="121212"/>
                <w:sz w:val="20"/>
              </w:rPr>
              <w:t>A clickable source link on every chart that opens the source PDF at the exact page.</w:t>
            </w:r>
          </w:p>
        </w:tc>
      </w:tr>
      <w:tr>
        <w:tc>
          <w:tcPr>
            <w:tcW w:type="dxa" w:w="4824"/>
          </w:tcPr>
          <w:p>
            <w:r>
              <w:rPr>
                <w:color w:val="121212"/>
                <w:sz w:val="20"/>
              </w:rPr>
            </w:r>
            <w:r>
              <w:rPr>
                <w:color w:val="121212"/>
                <w:sz w:val="20"/>
              </w:rPr>
              <w:t>Cost pool / Tower</w:t>
            </w:r>
          </w:p>
        </w:tc>
        <w:tc>
          <w:tcPr>
            <w:tcW w:type="dxa" w:w="4824"/>
          </w:tcPr>
          <w:p>
            <w:r>
              <w:rPr>
                <w:color w:val="121212"/>
                <w:sz w:val="20"/>
              </w:rPr>
            </w:r>
            <w:r>
              <w:rPr>
                <w:color w:val="121212"/>
                <w:sz w:val="20"/>
              </w:rPr>
              <w:t>TBM v5.0.1 budget categorizations used by the Deep-Dive Technology page.</w:t>
            </w:r>
          </w:p>
        </w:tc>
      </w:tr>
      <w:tr>
        <w:tc>
          <w:tcPr>
            <w:tcW w:type="dxa" w:w="4824"/>
          </w:tcPr>
          <w:p>
            <w:r>
              <w:rPr>
                <w:color w:val="121212"/>
                <w:sz w:val="20"/>
              </w:rPr>
            </w:r>
            <w:r>
              <w:rPr>
                <w:color w:val="121212"/>
                <w:sz w:val="20"/>
              </w:rPr>
              <w:t>Choropleth</w:t>
            </w:r>
          </w:p>
        </w:tc>
        <w:tc>
          <w:tcPr>
            <w:tcW w:type="dxa" w:w="4824"/>
          </w:tcPr>
          <w:p>
            <w:r>
              <w:rPr>
                <w:color w:val="121212"/>
                <w:sz w:val="20"/>
              </w:rPr>
            </w:r>
            <w:r>
              <w:rPr>
                <w:color w:val="121212"/>
                <w:sz w:val="20"/>
              </w:rPr>
              <w:t>A map where regions are shaded by a value (used for the county map).</w:t>
            </w:r>
          </w:p>
        </w:tc>
      </w:tr>
      <w:tr>
        <w:tc>
          <w:tcPr>
            <w:tcW w:type="dxa" w:w="4824"/>
          </w:tcPr>
          <w:p>
            <w:r>
              <w:rPr>
                <w:color w:val="121212"/>
                <w:sz w:val="20"/>
              </w:rPr>
            </w:r>
            <w:r>
              <w:rPr>
                <w:color w:val="121212"/>
                <w:sz w:val="20"/>
              </w:rPr>
              <w:t>DBM</w:t>
            </w:r>
          </w:p>
        </w:tc>
        <w:tc>
          <w:tcPr>
            <w:tcW w:type="dxa" w:w="4824"/>
          </w:tcPr>
          <w:p>
            <w:r>
              <w:rPr>
                <w:color w:val="121212"/>
                <w:sz w:val="20"/>
              </w:rPr>
            </w:r>
            <w:r>
              <w:rPr>
                <w:color w:val="121212"/>
                <w:sz w:val="20"/>
              </w:rPr>
              <w:t>Maryland Department of Budget and Management — the state's executive budget office.</w:t>
            </w:r>
          </w:p>
        </w:tc>
      </w:tr>
      <w:tr>
        <w:tc>
          <w:tcPr>
            <w:tcW w:type="dxa" w:w="4824"/>
          </w:tcPr>
          <w:p>
            <w:r>
              <w:rPr>
                <w:color w:val="121212"/>
                <w:sz w:val="20"/>
              </w:rPr>
            </w:r>
            <w:r>
              <w:rPr>
                <w:color w:val="121212"/>
                <w:sz w:val="20"/>
              </w:rPr>
              <w:t>DBT</w:t>
            </w:r>
          </w:p>
        </w:tc>
        <w:tc>
          <w:tcPr>
            <w:tcW w:type="dxa" w:w="4824"/>
          </w:tcPr>
          <w:p>
            <w:r>
              <w:rPr>
                <w:color w:val="121212"/>
                <w:sz w:val="20"/>
              </w:rPr>
            </w:r>
            <w:r>
              <w:rPr>
                <w:color w:val="121212"/>
                <w:sz w:val="20"/>
              </w:rPr>
              <w:t>Data Build Tool — the framework used to transform DuckDB raw tables into analytical marts.</w:t>
            </w:r>
          </w:p>
        </w:tc>
      </w:tr>
      <w:tr>
        <w:tc>
          <w:tcPr>
            <w:tcW w:type="dxa" w:w="4824"/>
          </w:tcPr>
          <w:p>
            <w:r>
              <w:rPr>
                <w:color w:val="121212"/>
                <w:sz w:val="20"/>
              </w:rPr>
            </w:r>
            <w:r>
              <w:rPr>
                <w:color w:val="121212"/>
                <w:sz w:val="20"/>
              </w:rPr>
              <w:t>Deep-Dive</w:t>
            </w:r>
          </w:p>
        </w:tc>
        <w:tc>
          <w:tcPr>
            <w:tcW w:type="dxa" w:w="4824"/>
          </w:tcPr>
          <w:p>
            <w:r>
              <w:rPr>
                <w:color w:val="121212"/>
                <w:sz w:val="20"/>
              </w:rPr>
            </w:r>
            <w:r>
              <w:rPr>
                <w:color w:val="121212"/>
                <w:sz w:val="20"/>
              </w:rPr>
              <w:t xml:space="preserve">The Evidence-based agency drill-down dashboard at </w:t>
            </w:r>
            <w:r>
              <w:rPr>
                <w:rFonts w:ascii="Consolas" w:hAnsi="Consolas"/>
                <w:color w:val="802CD7"/>
                <w:sz w:val="20"/>
              </w:rPr>
              <w:t>/deep-dive/*</w:t>
            </w:r>
            <w:r>
              <w:rPr>
                <w:color w:val="121212"/>
                <w:sz w:val="20"/>
              </w:rPr>
              <w:t>.</w:t>
            </w:r>
          </w:p>
        </w:tc>
      </w:tr>
      <w:tr>
        <w:tc>
          <w:tcPr>
            <w:tcW w:type="dxa" w:w="4824"/>
          </w:tcPr>
          <w:p>
            <w:r>
              <w:rPr>
                <w:color w:val="121212"/>
                <w:sz w:val="20"/>
              </w:rPr>
            </w:r>
            <w:r>
              <w:rPr>
                <w:color w:val="121212"/>
                <w:sz w:val="20"/>
              </w:rPr>
              <w:t>DuckDB</w:t>
            </w:r>
          </w:p>
        </w:tc>
        <w:tc>
          <w:tcPr>
            <w:tcW w:type="dxa" w:w="4824"/>
          </w:tcPr>
          <w:p>
            <w:r>
              <w:rPr>
                <w:color w:val="121212"/>
                <w:sz w:val="20"/>
              </w:rPr>
            </w:r>
            <w:r>
              <w:rPr>
                <w:color w:val="121212"/>
                <w:sz w:val="20"/>
              </w:rPr>
              <w:t xml:space="preserve">An in-process analytical database; the Deep-Dive's warehouse runs in a single </w:t>
            </w:r>
            <w:r>
              <w:rPr>
                <w:rFonts w:ascii="Consolas" w:hAnsi="Consolas"/>
                <w:color w:val="802CD7"/>
                <w:sz w:val="20"/>
              </w:rPr>
              <w:t>.duckdb</w:t>
            </w:r>
            <w:r>
              <w:rPr>
                <w:color w:val="121212"/>
                <w:sz w:val="20"/>
              </w:rPr>
              <w:t xml:space="preserve"> file.</w:t>
            </w:r>
          </w:p>
        </w:tc>
      </w:tr>
      <w:tr>
        <w:tc>
          <w:tcPr>
            <w:tcW w:type="dxa" w:w="4824"/>
          </w:tcPr>
          <w:p>
            <w:r>
              <w:rPr>
                <w:color w:val="121212"/>
                <w:sz w:val="20"/>
              </w:rPr>
            </w:r>
            <w:r>
              <w:rPr>
                <w:color w:val="121212"/>
                <w:sz w:val="20"/>
              </w:rPr>
              <w:t>Evidence</w:t>
            </w:r>
          </w:p>
        </w:tc>
        <w:tc>
          <w:tcPr>
            <w:tcW w:type="dxa" w:w="4824"/>
          </w:tcPr>
          <w:p>
            <w:r>
              <w:rPr>
                <w:color w:val="121212"/>
                <w:sz w:val="20"/>
              </w:rPr>
            </w:r>
            <w:r>
              <w:rPr>
                <w:color w:val="121212"/>
                <w:sz w:val="20"/>
              </w:rPr>
              <w:t>https://evidence.dev — the SvelteKit framework used to build the Deep-Dive's static pages.</w:t>
            </w:r>
          </w:p>
        </w:tc>
      </w:tr>
      <w:tr>
        <w:tc>
          <w:tcPr>
            <w:tcW w:type="dxa" w:w="4824"/>
          </w:tcPr>
          <w:p>
            <w:r>
              <w:rPr>
                <w:color w:val="121212"/>
                <w:sz w:val="20"/>
              </w:rPr>
            </w:r>
            <w:r>
              <w:rPr>
                <w:color w:val="121212"/>
                <w:sz w:val="20"/>
              </w:rPr>
              <w:t>Federal Funds</w:t>
            </w:r>
          </w:p>
        </w:tc>
        <w:tc>
          <w:tcPr>
            <w:tcW w:type="dxa" w:w="4824"/>
          </w:tcPr>
          <w:p>
            <w:r>
              <w:rPr>
                <w:color w:val="121212"/>
                <w:sz w:val="20"/>
              </w:rPr>
            </w:r>
            <w:r>
              <w:rPr>
                <w:color w:val="121212"/>
                <w:sz w:val="20"/>
              </w:rPr>
              <w:t>One of three Maryland fund types. The other two are General Funds and Special Funds.</w:t>
            </w:r>
          </w:p>
        </w:tc>
      </w:tr>
      <w:tr>
        <w:tc>
          <w:tcPr>
            <w:tcW w:type="dxa" w:w="4824"/>
          </w:tcPr>
          <w:p>
            <w:r>
              <w:rPr>
                <w:color w:val="121212"/>
                <w:sz w:val="20"/>
              </w:rPr>
            </w:r>
            <w:r>
              <w:rPr>
                <w:color w:val="121212"/>
                <w:sz w:val="20"/>
              </w:rPr>
              <w:t>Fiscal year (FY)</w:t>
            </w:r>
          </w:p>
        </w:tc>
        <w:tc>
          <w:tcPr>
            <w:tcW w:type="dxa" w:w="4824"/>
          </w:tcPr>
          <w:p>
            <w:r>
              <w:rPr>
                <w:color w:val="121212"/>
                <w:sz w:val="20"/>
              </w:rPr>
            </w:r>
            <w:r>
              <w:rPr>
                <w:color w:val="121212"/>
                <w:sz w:val="20"/>
              </w:rPr>
              <w:t>Maryland's fiscal year runs July 1 to June 30. FY2027 starts July 1, 2026.</w:t>
            </w:r>
          </w:p>
        </w:tc>
      </w:tr>
      <w:tr>
        <w:tc>
          <w:tcPr>
            <w:tcW w:type="dxa" w:w="4824"/>
          </w:tcPr>
          <w:p>
            <w:r>
              <w:rPr>
                <w:color w:val="121212"/>
                <w:sz w:val="20"/>
              </w:rPr>
            </w:r>
            <w:r>
              <w:rPr>
                <w:color w:val="121212"/>
                <w:sz w:val="20"/>
              </w:rPr>
              <w:t>General Fund</w:t>
            </w:r>
          </w:p>
        </w:tc>
        <w:tc>
          <w:tcPr>
            <w:tcW w:type="dxa" w:w="4824"/>
          </w:tcPr>
          <w:p>
            <w:r>
              <w:rPr>
                <w:color w:val="121212"/>
                <w:sz w:val="20"/>
              </w:rPr>
            </w:r>
            <w:r>
              <w:rPr>
                <w:color w:val="121212"/>
                <w:sz w:val="20"/>
              </w:rPr>
              <w:t>The state's primary discretionary spending account.</w:t>
            </w:r>
          </w:p>
        </w:tc>
      </w:tr>
      <w:tr>
        <w:tc>
          <w:tcPr>
            <w:tcW w:type="dxa" w:w="4824"/>
          </w:tcPr>
          <w:p>
            <w:r>
              <w:rPr>
                <w:color w:val="121212"/>
                <w:sz w:val="20"/>
              </w:rPr>
            </w:r>
            <w:r>
              <w:rPr>
                <w:color w:val="121212"/>
                <w:sz w:val="20"/>
              </w:rPr>
              <w:t>Iframe</w:t>
            </w:r>
          </w:p>
        </w:tc>
        <w:tc>
          <w:tcPr>
            <w:tcW w:type="dxa" w:w="4824"/>
          </w:tcPr>
          <w:p>
            <w:r>
              <w:rPr>
                <w:color w:val="121212"/>
                <w:sz w:val="20"/>
              </w:rPr>
            </w:r>
            <w:r>
              <w:rPr>
                <w:color w:val="121212"/>
                <w:sz w:val="20"/>
              </w:rPr>
              <w:t>An HTML element that embeds another page inside the current page. Used by the Sankey, Fiscal Journey, and county map.</w:t>
            </w:r>
          </w:p>
        </w:tc>
      </w:tr>
      <w:tr>
        <w:tc>
          <w:tcPr>
            <w:tcW w:type="dxa" w:w="4824"/>
          </w:tcPr>
          <w:p>
            <w:r>
              <w:rPr>
                <w:color w:val="121212"/>
                <w:sz w:val="20"/>
              </w:rPr>
            </w:r>
            <w:r>
              <w:rPr>
                <w:color w:val="121212"/>
                <w:sz w:val="20"/>
              </w:rPr>
              <w:t>JCR</w:t>
            </w:r>
          </w:p>
        </w:tc>
        <w:tc>
          <w:tcPr>
            <w:tcW w:type="dxa" w:w="4824"/>
          </w:tcPr>
          <w:p>
            <w:r>
              <w:rPr>
                <w:color w:val="121212"/>
                <w:sz w:val="20"/>
              </w:rPr>
            </w:r>
            <w:r>
              <w:rPr>
                <w:color w:val="121212"/>
                <w:sz w:val="20"/>
              </w:rPr>
              <w:t>Joint Chairmen's Report — the General Assembly's annual legislative analysis of the budget.</w:t>
            </w:r>
          </w:p>
        </w:tc>
      </w:tr>
      <w:tr>
        <w:tc>
          <w:tcPr>
            <w:tcW w:type="dxa" w:w="4824"/>
          </w:tcPr>
          <w:p>
            <w:r>
              <w:rPr>
                <w:color w:val="121212"/>
                <w:sz w:val="20"/>
              </w:rPr>
            </w:r>
            <w:r>
              <w:rPr>
                <w:color w:val="121212"/>
                <w:sz w:val="20"/>
              </w:rPr>
              <w:t>KPI</w:t>
            </w:r>
          </w:p>
        </w:tc>
        <w:tc>
          <w:tcPr>
            <w:tcW w:type="dxa" w:w="4824"/>
          </w:tcPr>
          <w:p>
            <w:r>
              <w:rPr>
                <w:color w:val="121212"/>
                <w:sz w:val="20"/>
              </w:rPr>
            </w:r>
            <w:r>
              <w:rPr>
                <w:color w:val="121212"/>
                <w:sz w:val="20"/>
              </w:rPr>
              <w:t>Key Performance Indicator — the six summary cards at the top of the home page.</w:t>
            </w:r>
          </w:p>
        </w:tc>
      </w:tr>
      <w:tr>
        <w:tc>
          <w:tcPr>
            <w:tcW w:type="dxa" w:w="4824"/>
          </w:tcPr>
          <w:p>
            <w:r>
              <w:rPr>
                <w:color w:val="121212"/>
                <w:sz w:val="20"/>
              </w:rPr>
            </w:r>
            <w:r>
              <w:rPr>
                <w:color w:val="121212"/>
                <w:sz w:val="20"/>
              </w:rPr>
              <w:t>MITDP</w:t>
            </w:r>
          </w:p>
        </w:tc>
        <w:tc>
          <w:tcPr>
            <w:tcW w:type="dxa" w:w="4824"/>
          </w:tcPr>
          <w:p>
            <w:r>
              <w:rPr>
                <w:color w:val="121212"/>
                <w:sz w:val="20"/>
              </w:rPr>
            </w:r>
            <w:r>
              <w:rPr>
                <w:color w:val="121212"/>
                <w:sz w:val="20"/>
              </w:rPr>
              <w:t>Major Information Technology Development Project — Maryland's registry of large IT initiatives.</w:t>
            </w:r>
          </w:p>
        </w:tc>
      </w:tr>
      <w:tr>
        <w:tc>
          <w:tcPr>
            <w:tcW w:type="dxa" w:w="4824"/>
          </w:tcPr>
          <w:p>
            <w:r>
              <w:rPr>
                <w:color w:val="121212"/>
                <w:sz w:val="20"/>
              </w:rPr>
            </w:r>
            <w:r>
              <w:rPr>
                <w:color w:val="121212"/>
                <w:sz w:val="20"/>
              </w:rPr>
              <w:t>MFR</w:t>
            </w:r>
          </w:p>
        </w:tc>
        <w:tc>
          <w:tcPr>
            <w:tcW w:type="dxa" w:w="4824"/>
          </w:tcPr>
          <w:p>
            <w:r>
              <w:rPr>
                <w:color w:val="121212"/>
                <w:sz w:val="20"/>
              </w:rPr>
            </w:r>
            <w:r>
              <w:rPr>
                <w:color w:val="121212"/>
                <w:sz w:val="20"/>
              </w:rPr>
              <w:t>Monthly Fiscal Report — the executive branch's in-year fiscal tracking publication.</w:t>
            </w:r>
          </w:p>
        </w:tc>
      </w:tr>
      <w:tr>
        <w:tc>
          <w:tcPr>
            <w:tcW w:type="dxa" w:w="4824"/>
          </w:tcPr>
          <w:p>
            <w:r>
              <w:rPr>
                <w:color w:val="121212"/>
                <w:sz w:val="20"/>
              </w:rPr>
            </w:r>
            <w:r>
              <w:rPr>
                <w:color w:val="121212"/>
                <w:sz w:val="20"/>
              </w:rPr>
              <w:t>Netlify</w:t>
            </w:r>
          </w:p>
        </w:tc>
        <w:tc>
          <w:tcPr>
            <w:tcW w:type="dxa" w:w="4824"/>
          </w:tcPr>
          <w:p>
            <w:r>
              <w:rPr>
                <w:color w:val="121212"/>
                <w:sz w:val="20"/>
              </w:rPr>
            </w:r>
            <w:r>
              <w:rPr>
                <w:color w:val="121212"/>
                <w:sz w:val="20"/>
              </w:rPr>
              <w:t>The static-site host this project runs on.</w:t>
            </w:r>
          </w:p>
        </w:tc>
      </w:tr>
      <w:tr>
        <w:tc>
          <w:tcPr>
            <w:tcW w:type="dxa" w:w="4824"/>
          </w:tcPr>
          <w:p>
            <w:r>
              <w:rPr>
                <w:color w:val="121212"/>
                <w:sz w:val="20"/>
              </w:rPr>
            </w:r>
            <w:r>
              <w:rPr>
                <w:color w:val="121212"/>
                <w:sz w:val="20"/>
              </w:rPr>
              <w:t>Next.js</w:t>
            </w:r>
          </w:p>
        </w:tc>
        <w:tc>
          <w:tcPr>
            <w:tcW w:type="dxa" w:w="4824"/>
          </w:tcPr>
          <w:p>
            <w:r>
              <w:rPr>
                <w:color w:val="121212"/>
                <w:sz w:val="20"/>
              </w:rPr>
            </w:r>
            <w:r>
              <w:rPr>
                <w:color w:val="121212"/>
                <w:sz w:val="20"/>
              </w:rPr>
              <w:t>The React framework powering the home page (</w:t>
            </w:r>
            <w:r>
              <w:rPr>
                <w:rFonts w:ascii="Consolas" w:hAnsi="Consolas"/>
                <w:color w:val="802CD7"/>
                <w:sz w:val="20"/>
              </w:rPr>
              <w:t>app/page.tsx</w:t>
            </w:r>
            <w:r>
              <w:rPr>
                <w:color w:val="121212"/>
                <w:sz w:val="20"/>
              </w:rPr>
              <w:t xml:space="preserve">, </w:t>
            </w:r>
            <w:r>
              <w:rPr>
                <w:rFonts w:ascii="Consolas" w:hAnsi="Consolas"/>
                <w:color w:val="802CD7"/>
                <w:sz w:val="20"/>
              </w:rPr>
              <w:t>app/methodology/page.tsx</w:t>
            </w:r>
            <w:r>
              <w:rPr>
                <w:color w:val="121212"/>
                <w:sz w:val="20"/>
              </w:rPr>
              <w:t>, etc.).</w:t>
            </w:r>
          </w:p>
        </w:tc>
      </w:tr>
      <w:tr>
        <w:tc>
          <w:tcPr>
            <w:tcW w:type="dxa" w:w="4824"/>
          </w:tcPr>
          <w:p>
            <w:r>
              <w:rPr>
                <w:color w:val="121212"/>
                <w:sz w:val="20"/>
              </w:rPr>
            </w:r>
            <w:r>
              <w:rPr>
                <w:color w:val="121212"/>
                <w:sz w:val="20"/>
              </w:rPr>
              <w:t>NIST AI RMF</w:t>
            </w:r>
          </w:p>
        </w:tc>
        <w:tc>
          <w:tcPr>
            <w:tcW w:type="dxa" w:w="4824"/>
          </w:tcPr>
          <w:p>
            <w:r>
              <w:rPr>
                <w:color w:val="121212"/>
                <w:sz w:val="20"/>
              </w:rPr>
            </w:r>
            <w:r>
              <w:rPr>
                <w:color w:val="121212"/>
                <w:sz w:val="20"/>
              </w:rPr>
              <w:t>NIST AI Risk Management Framework — the federal governance framework applied to the tool's design.</w:t>
            </w:r>
          </w:p>
        </w:tc>
      </w:tr>
      <w:tr>
        <w:tc>
          <w:tcPr>
            <w:tcW w:type="dxa" w:w="4824"/>
          </w:tcPr>
          <w:p>
            <w:r>
              <w:rPr>
                <w:color w:val="121212"/>
                <w:sz w:val="20"/>
              </w:rPr>
            </w:r>
            <w:r>
              <w:rPr>
                <w:color w:val="121212"/>
                <w:sz w:val="20"/>
              </w:rPr>
              <w:t>NXT</w:t>
            </w:r>
          </w:p>
        </w:tc>
        <w:tc>
          <w:tcPr>
            <w:tcW w:type="dxa" w:w="4824"/>
          </w:tcPr>
          <w:p>
            <w:r>
              <w:rPr>
                <w:color w:val="121212"/>
                <w:sz w:val="20"/>
              </w:rPr>
            </w:r>
            <w:r>
              <w:rPr>
                <w:color w:val="121212"/>
                <w:sz w:val="20"/>
              </w:rPr>
              <w:t>The capstone industry partner; their five-pillar values framework informs the dashboard's editorial approach.</w:t>
            </w:r>
          </w:p>
        </w:tc>
      </w:tr>
      <w:tr>
        <w:tc>
          <w:tcPr>
            <w:tcW w:type="dxa" w:w="4824"/>
          </w:tcPr>
          <w:p>
            <w:r>
              <w:rPr>
                <w:color w:val="121212"/>
                <w:sz w:val="20"/>
              </w:rPr>
            </w:r>
            <w:r>
              <w:rPr>
                <w:color w:val="121212"/>
                <w:sz w:val="20"/>
              </w:rPr>
              <w:t>Plotly</w:t>
            </w:r>
          </w:p>
        </w:tc>
        <w:tc>
          <w:tcPr>
            <w:tcW w:type="dxa" w:w="4824"/>
          </w:tcPr>
          <w:p>
            <w:r>
              <w:rPr>
                <w:color w:val="121212"/>
                <w:sz w:val="20"/>
              </w:rPr>
            </w:r>
            <w:r>
              <w:rPr>
                <w:color w:val="121212"/>
                <w:sz w:val="20"/>
              </w:rPr>
              <w:t>The charting library used for most home-page visualizations.</w:t>
            </w:r>
          </w:p>
        </w:tc>
      </w:tr>
      <w:tr>
        <w:tc>
          <w:tcPr>
            <w:tcW w:type="dxa" w:w="4824"/>
          </w:tcPr>
          <w:p>
            <w:r>
              <w:rPr>
                <w:color w:val="121212"/>
                <w:sz w:val="20"/>
              </w:rPr>
            </w:r>
            <w:r>
              <w:rPr>
                <w:color w:val="121212"/>
                <w:sz w:val="20"/>
              </w:rPr>
              <w:t>Sankey</w:t>
            </w:r>
          </w:p>
        </w:tc>
        <w:tc>
          <w:tcPr>
            <w:tcW w:type="dxa" w:w="4824"/>
          </w:tcPr>
          <w:p>
            <w:r>
              <w:rPr>
                <w:color w:val="121212"/>
                <w:sz w:val="20"/>
              </w:rPr>
            </w:r>
            <w:r>
              <w:rPr>
                <w:color w:val="121212"/>
                <w:sz w:val="20"/>
              </w:rPr>
              <w:t>The flow diagram on Slide 2 showing Revenue → Fund Type → Agency (and optionally → Programs).</w:t>
            </w:r>
          </w:p>
        </w:tc>
      </w:tr>
      <w:tr>
        <w:tc>
          <w:tcPr>
            <w:tcW w:type="dxa" w:w="4824"/>
          </w:tcPr>
          <w:p>
            <w:r>
              <w:rPr>
                <w:color w:val="121212"/>
                <w:sz w:val="20"/>
              </w:rPr>
            </w:r>
            <w:r>
              <w:rPr>
                <w:color w:val="121212"/>
                <w:sz w:val="20"/>
              </w:rPr>
              <w:t>Special Funds</w:t>
            </w:r>
          </w:p>
        </w:tc>
        <w:tc>
          <w:tcPr>
            <w:tcW w:type="dxa" w:w="4824"/>
          </w:tcPr>
          <w:p>
            <w:r>
              <w:rPr>
                <w:color w:val="121212"/>
                <w:sz w:val="20"/>
              </w:rPr>
            </w:r>
            <w:r>
              <w:rPr>
                <w:color w:val="121212"/>
                <w:sz w:val="20"/>
              </w:rPr>
              <w:t>Restricted-purpose state revenues (tolls, fees, dedicated taxes).</w:t>
            </w:r>
          </w:p>
        </w:tc>
      </w:tr>
      <w:tr>
        <w:tc>
          <w:tcPr>
            <w:tcW w:type="dxa" w:w="4824"/>
          </w:tcPr>
          <w:p>
            <w:r>
              <w:rPr>
                <w:color w:val="121212"/>
                <w:sz w:val="20"/>
              </w:rPr>
            </w:r>
            <w:r>
              <w:rPr>
                <w:color w:val="121212"/>
                <w:sz w:val="20"/>
              </w:rPr>
              <w:t>TBM v5.0.1</w:t>
            </w:r>
          </w:p>
        </w:tc>
        <w:tc>
          <w:tcPr>
            <w:tcW w:type="dxa" w:w="4824"/>
          </w:tcPr>
          <w:p>
            <w:r>
              <w:rPr>
                <w:color w:val="121212"/>
                <w:sz w:val="20"/>
              </w:rPr>
            </w:r>
            <w:r>
              <w:rPr>
                <w:color w:val="121212"/>
                <w:sz w:val="20"/>
              </w:rPr>
              <w:t>Technology Business Management taxonomy — the framework used to classify IT spend.</w:t>
            </w:r>
          </w:p>
        </w:tc>
      </w:tr>
    </w:tbl>
    <w:p/>
    <w:p>
      <w:pPr>
        <w:jc w:val="center"/>
      </w:pPr>
      <w:r>
        <w:rPr>
          <w:rFonts w:ascii="Calibri" w:hAnsi="Calibri"/>
          <w:b w:val="0"/>
          <w:i w:val="0"/>
          <w:color w:val="555555"/>
          <w:sz w:val="18"/>
        </w:rPr>
        <w:t>──────────────────────────────────────────────────</w:t>
      </w:r>
    </w:p>
    <w:p>
      <w:pPr>
        <w:keepNext/>
        <w:spacing w:before="240" w:after="120"/>
      </w:pPr>
      <w:r>
        <w:rPr>
          <w:rFonts w:ascii="Calibri" w:hAnsi="Calibri"/>
          <w:b/>
          <w:i w:val="0"/>
          <w:color w:val="6321A5"/>
          <w:sz w:val="32"/>
        </w:rPr>
        <w:t>12. Contributors and Contact</w:t>
      </w:r>
    </w:p>
    <w:p>
      <w:pPr>
        <w:spacing w:after="120" w:line="300" w:lineRule="auto"/>
      </w:pPr>
      <w:r>
        <w:t>This project was built by the University of Maryland iSchool capstone team in partnership with NXT and the Senate Budget and Taxation Committee staff.</w:t>
      </w:r>
    </w:p>
    <w:tbl>
      <w:tblPr>
        <w:tblStyle w:val="LightGrid-Accent4"/>
        <w:tblW w:type="auto" w:w="0"/>
        <w:tblLook w:firstColumn="1" w:firstRow="1" w:lastColumn="0" w:lastRow="0" w:noHBand="0" w:noVBand="1" w:val="04A0"/>
      </w:tblPr>
      <w:tblGrid>
        <w:gridCol w:w="4824"/>
        <w:gridCol w:w="4824"/>
      </w:tblGrid>
      <w:tr>
        <w:tc>
          <w:tcPr>
            <w:tcW w:type="dxa" w:w="4824"/>
          </w:tcPr>
          <w:p>
            <w:r/>
            <w:r>
              <w:rPr>
                <w:rFonts w:ascii="Calibri" w:hAnsi="Calibri"/>
                <w:b/>
                <w:i w:val="0"/>
                <w:color w:val="211030"/>
                <w:sz w:val="20"/>
              </w:rPr>
              <w:t>Name</w:t>
            </w:r>
          </w:p>
        </w:tc>
        <w:tc>
          <w:tcPr>
            <w:tcW w:type="dxa" w:w="4824"/>
          </w:tcPr>
          <w:p>
            <w:r/>
            <w:r>
              <w:rPr>
                <w:rFonts w:ascii="Calibri" w:hAnsi="Calibri"/>
                <w:b/>
                <w:i w:val="0"/>
                <w:color w:val="211030"/>
                <w:sz w:val="20"/>
              </w:rPr>
              <w:t>Role</w:t>
            </w:r>
          </w:p>
        </w:tc>
      </w:tr>
      <w:tr>
        <w:tc>
          <w:tcPr>
            <w:tcW w:type="dxa" w:w="4824"/>
          </w:tcPr>
          <w:p>
            <w:r>
              <w:rPr>
                <w:color w:val="121212"/>
                <w:sz w:val="20"/>
              </w:rPr>
            </w:r>
            <w:r>
              <w:rPr>
                <w:color w:val="121212"/>
                <w:sz w:val="20"/>
              </w:rPr>
              <w:t>Aarushi Singh</w:t>
            </w:r>
          </w:p>
        </w:tc>
        <w:tc>
          <w:tcPr>
            <w:tcW w:type="dxa" w:w="4824"/>
          </w:tcPr>
          <w:p>
            <w:r>
              <w:rPr>
                <w:color w:val="121212"/>
                <w:sz w:val="20"/>
              </w:rPr>
            </w:r>
            <w:r>
              <w:rPr>
                <w:color w:val="121212"/>
                <w:sz w:val="20"/>
              </w:rPr>
              <w:t>Home Page lead, frontend, Netlify deploy</w:t>
            </w:r>
          </w:p>
        </w:tc>
      </w:tr>
      <w:tr>
        <w:tc>
          <w:tcPr>
            <w:tcW w:type="dxa" w:w="4824"/>
          </w:tcPr>
          <w:p>
            <w:r>
              <w:rPr>
                <w:color w:val="121212"/>
                <w:sz w:val="20"/>
              </w:rPr>
            </w:r>
            <w:r>
              <w:rPr>
                <w:color w:val="121212"/>
                <w:sz w:val="20"/>
              </w:rPr>
              <w:t>Nadvi Haque</w:t>
            </w:r>
          </w:p>
        </w:tc>
        <w:tc>
          <w:tcPr>
            <w:tcW w:type="dxa" w:w="4824"/>
          </w:tcPr>
          <w:p>
            <w:r>
              <w:rPr>
                <w:color w:val="121212"/>
                <w:sz w:val="20"/>
              </w:rPr>
            </w:r>
            <w:r>
              <w:rPr>
                <w:color w:val="121212"/>
                <w:sz w:val="20"/>
              </w:rPr>
              <w:t>Home Page contributor, design, citation system</w:t>
            </w:r>
          </w:p>
        </w:tc>
      </w:tr>
      <w:tr>
        <w:tc>
          <w:tcPr>
            <w:tcW w:type="dxa" w:w="4824"/>
          </w:tcPr>
          <w:p>
            <w:r>
              <w:rPr>
                <w:color w:val="121212"/>
                <w:sz w:val="20"/>
              </w:rPr>
            </w:r>
            <w:r>
              <w:rPr>
                <w:color w:val="121212"/>
                <w:sz w:val="20"/>
              </w:rPr>
              <w:t>Priyanshu Gupta</w:t>
            </w:r>
          </w:p>
        </w:tc>
        <w:tc>
          <w:tcPr>
            <w:tcW w:type="dxa" w:w="4824"/>
          </w:tcPr>
          <w:p>
            <w:r>
              <w:rPr>
                <w:color w:val="121212"/>
                <w:sz w:val="20"/>
              </w:rPr>
            </w:r>
            <w:r>
              <w:rPr>
                <w:color w:val="121212"/>
                <w:sz w:val="20"/>
              </w:rPr>
              <w:t>Deep-Dive lead, Python pipeline, Evidence dashboard, AI classification</w:t>
            </w:r>
          </w:p>
        </w:tc>
      </w:tr>
      <w:tr>
        <w:tc>
          <w:tcPr>
            <w:tcW w:type="dxa" w:w="4824"/>
          </w:tcPr>
          <w:p>
            <w:r>
              <w:rPr>
                <w:color w:val="121212"/>
                <w:sz w:val="20"/>
              </w:rPr>
            </w:r>
            <w:r>
              <w:rPr>
                <w:color w:val="121212"/>
                <w:sz w:val="20"/>
              </w:rPr>
              <w:t>James Van Doorn</w:t>
            </w:r>
          </w:p>
        </w:tc>
        <w:tc>
          <w:tcPr>
            <w:tcW w:type="dxa" w:w="4824"/>
          </w:tcPr>
          <w:p>
            <w:r>
              <w:rPr>
                <w:color w:val="121212"/>
                <w:sz w:val="20"/>
              </w:rPr>
            </w:r>
            <w:r>
              <w:rPr>
                <w:color w:val="121212"/>
                <w:sz w:val="20"/>
              </w:rPr>
              <w:t>Home Page contributor, analysis, narrative</w:t>
            </w:r>
          </w:p>
        </w:tc>
      </w:tr>
    </w:tbl>
    <w:p/>
    <w:p>
      <w:pPr>
        <w:spacing w:after="120" w:line="300" w:lineRule="auto"/>
      </w:pPr>
      <w:r>
        <w:t>For questions about continuing the project, open an issue in the relevant GitHub repository:</w:t>
      </w:r>
    </w:p>
    <w:p>
      <w:pPr>
        <w:pStyle w:val="ListBullet"/>
        <w:spacing w:after="60"/>
      </w:pPr>
      <w:r>
        <w:t>Home page: https://github.com/asingh3506/md-budget-site/issues</w:t>
      </w:r>
    </w:p>
    <w:p>
      <w:pPr>
        <w:pStyle w:val="ListBullet"/>
        <w:spacing w:after="60"/>
      </w:pPr>
      <w:r>
        <w:t>Deep-Dive: https://github.com/priyanshu124/IT</w:t>
      </w:r>
      <w:r>
        <w:rPr>
          <w:i/>
        </w:rPr>
        <w:t>state</w:t>
      </w:r>
      <w:r>
        <w:t>budget_agent/issues</w:t>
      </w:r>
    </w:p>
    <w:p>
      <w:pPr>
        <w:jc w:val="center"/>
      </w:pPr>
      <w:r>
        <w:rPr>
          <w:rFonts w:ascii="Calibri" w:hAnsi="Calibri"/>
          <w:b w:val="0"/>
          <w:i w:val="0"/>
          <w:color w:val="555555"/>
          <w:sz w:val="18"/>
        </w:rPr>
        <w:t>──────────────────────────────────────────────────</w:t>
      </w:r>
    </w:p>
    <w:p>
      <w:pPr>
        <w:jc w:val="center"/>
      </w:pPr>
      <w:r>
        <w:rPr>
          <w:rFonts w:ascii="Calibri" w:hAnsi="Calibri"/>
          <w:b w:val="0"/>
          <w:i/>
          <w:color w:val="555555"/>
          <w:sz w:val="20"/>
        </w:rPr>
        <w:t>End of document.</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