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394F" w14:textId="51E135F5" w:rsidR="002D7964" w:rsidRPr="00336079" w:rsidRDefault="00047F7B">
      <w:pPr>
        <w:rPr>
          <w:b/>
          <w:bCs/>
        </w:rPr>
      </w:pPr>
      <w:r w:rsidRPr="00336079">
        <w:rPr>
          <w:b/>
          <w:bCs/>
        </w:rPr>
        <w:t>Home page content</w:t>
      </w:r>
    </w:p>
    <w:p w14:paraId="7284A5FD" w14:textId="77777777" w:rsidR="00047F7B" w:rsidRDefault="00047F7B"/>
    <w:p w14:paraId="7CE1291C" w14:textId="1EAAFAD5" w:rsidR="00047F7B" w:rsidRDefault="00047F7B">
      <w:r>
        <w:t>Location: Carbondale, Illinois, USA</w:t>
      </w:r>
    </w:p>
    <w:p w14:paraId="6EAA3319" w14:textId="4953150D" w:rsidR="00047F7B" w:rsidRDefault="00047F7B">
      <w:r>
        <w:t>University: Southern Illinois University Carbondale</w:t>
      </w:r>
    </w:p>
    <w:p w14:paraId="35BABCA8" w14:textId="181B5400" w:rsidR="00047F7B" w:rsidRDefault="00047F7B">
      <w:r>
        <w:t xml:space="preserve">Email: </w:t>
      </w:r>
      <w:hyperlink r:id="rId5" w:history="1">
        <w:r w:rsidRPr="008803FE">
          <w:rPr>
            <w:rStyle w:val="Hyperlink"/>
          </w:rPr>
          <w:t>syedajahirin.aktari@siu.edu</w:t>
        </w:r>
      </w:hyperlink>
    </w:p>
    <w:p w14:paraId="1EFCB1F8" w14:textId="3BAFD6C1" w:rsidR="00047F7B" w:rsidRDefault="00047F7B">
      <w:proofErr w:type="spellStart"/>
      <w:r>
        <w:t>Linkedin</w:t>
      </w:r>
      <w:proofErr w:type="spellEnd"/>
      <w:r>
        <w:t xml:space="preserve">: </w:t>
      </w:r>
      <w:hyperlink r:id="rId6" w:history="1">
        <w:r w:rsidRPr="008803FE">
          <w:rPr>
            <w:rStyle w:val="Hyperlink"/>
          </w:rPr>
          <w:t>www.linkedin</w:t>
        </w:r>
        <w:r w:rsidRPr="008803FE">
          <w:rPr>
            <w:rStyle w:val="Hyperlink"/>
          </w:rPr>
          <w:t>.com/in/syeda-jahirin-aktari11</w:t>
        </w:r>
      </w:hyperlink>
    </w:p>
    <w:p w14:paraId="703B4D54" w14:textId="0612C91F" w:rsidR="00080456" w:rsidRPr="00C47676" w:rsidRDefault="00047F7B">
      <w:pPr>
        <w:rPr>
          <w:b/>
          <w:bCs/>
        </w:rPr>
      </w:pPr>
      <w:r w:rsidRPr="00C47676">
        <w:rPr>
          <w:b/>
          <w:bCs/>
        </w:rPr>
        <w:t>About Me</w:t>
      </w:r>
      <w:r w:rsidR="00A40B11" w:rsidRPr="00C47676">
        <w:rPr>
          <w:b/>
          <w:bCs/>
        </w:rPr>
        <w:t>:</w:t>
      </w:r>
    </w:p>
    <w:p w14:paraId="6ECF9148" w14:textId="4924914C" w:rsidR="00A40B11" w:rsidRPr="00A40B11" w:rsidRDefault="00A40B11" w:rsidP="00A40B11">
      <w:pPr>
        <w:jc w:val="both"/>
      </w:pPr>
      <w:r w:rsidRPr="00A40B11">
        <w:t>Welcome to my website! I am Syeda Jahirin Aktari, a Ph.D. candidate in Economics</w:t>
      </w:r>
      <w:r>
        <w:t xml:space="preserve"> (ABD)</w:t>
      </w:r>
      <w:r w:rsidRPr="00A40B11">
        <w:t xml:space="preserve"> at Southern Illinois University Carbondale.</w:t>
      </w:r>
    </w:p>
    <w:p w14:paraId="2C0564A1" w14:textId="77777777" w:rsidR="00A40B11" w:rsidRPr="00A40B11" w:rsidRDefault="00A40B11" w:rsidP="00A40B11">
      <w:pPr>
        <w:jc w:val="both"/>
      </w:pPr>
      <w:r w:rsidRPr="00A40B11">
        <w:t>My research and teaching interests include microeconomics, development economics, industrial organization, and causal inference, with a particular focus on the effects of education policy on political participation and gender-attitude outcomes, as well as spectrum-sharing market design, information asymmetry, and socioeconomic welfare.</w:t>
      </w:r>
    </w:p>
    <w:p w14:paraId="65F23680" w14:textId="77777777" w:rsidR="00A40B11" w:rsidRPr="00A40B11" w:rsidRDefault="00A40B11" w:rsidP="00A40B11">
      <w:pPr>
        <w:jc w:val="both"/>
      </w:pPr>
      <w:r w:rsidRPr="00A40B11">
        <w:t>I have been involved in the field of economics for nearly a decade through both academic study and professional work. During this period, I have gained experience conducting rigorous empirical analyses to address real-world policy issues using R, Stata, and EViews. My current work explores the effects of higher-education policy on long-term political participation and gender-attitude outcomes.</w:t>
      </w:r>
    </w:p>
    <w:p w14:paraId="1821A751" w14:textId="77777777" w:rsidR="00A40B11" w:rsidRDefault="00A40B11" w:rsidP="00A40B11">
      <w:pPr>
        <w:jc w:val="both"/>
      </w:pPr>
      <w:r w:rsidRPr="00A40B11">
        <w:t xml:space="preserve">My teaching experience demonstrates broad on-the-job training in both core and elective economics courses, including microeconomics, macroeconomics, health economics, urban economics, environmental economics, and the history of economic thought. I have taught in both in-person and online teaching modalities. Additionally, I have </w:t>
      </w:r>
      <w:proofErr w:type="gramStart"/>
      <w:r w:rsidRPr="00A40B11">
        <w:t>experience</w:t>
      </w:r>
      <w:proofErr w:type="gramEnd"/>
      <w:r w:rsidRPr="00A40B11">
        <w:t xml:space="preserve"> assisting with several management courses.</w:t>
      </w:r>
    </w:p>
    <w:p w14:paraId="5A19577D" w14:textId="77777777" w:rsidR="00C47676" w:rsidRDefault="00C47676" w:rsidP="00A40B11">
      <w:pPr>
        <w:jc w:val="both"/>
      </w:pPr>
    </w:p>
    <w:p w14:paraId="0590CD9A" w14:textId="77777777" w:rsidR="00C47676" w:rsidRDefault="00C47676" w:rsidP="00A40B11">
      <w:pPr>
        <w:jc w:val="both"/>
      </w:pPr>
    </w:p>
    <w:p w14:paraId="1E07C8A2" w14:textId="77777777" w:rsidR="00E84434" w:rsidRDefault="00E84434" w:rsidP="00A40B11">
      <w:pPr>
        <w:jc w:val="both"/>
      </w:pPr>
    </w:p>
    <w:p w14:paraId="01484C98" w14:textId="77777777" w:rsidR="00E84434" w:rsidRDefault="00E84434" w:rsidP="00A40B11">
      <w:pPr>
        <w:jc w:val="both"/>
      </w:pPr>
    </w:p>
    <w:p w14:paraId="514E591A" w14:textId="77777777" w:rsidR="00E84434" w:rsidRDefault="00E84434" w:rsidP="00A40B11">
      <w:pPr>
        <w:jc w:val="both"/>
      </w:pPr>
    </w:p>
    <w:p w14:paraId="05355E5D" w14:textId="77777777" w:rsidR="00E84434" w:rsidRDefault="00E84434" w:rsidP="00A40B11">
      <w:pPr>
        <w:jc w:val="both"/>
      </w:pPr>
    </w:p>
    <w:p w14:paraId="06B3277B" w14:textId="77777777" w:rsidR="00E84434" w:rsidRDefault="00E84434" w:rsidP="00A40B11">
      <w:pPr>
        <w:jc w:val="both"/>
      </w:pPr>
    </w:p>
    <w:p w14:paraId="7FB320C6" w14:textId="6B71C583" w:rsidR="00C47676" w:rsidRPr="00336079" w:rsidRDefault="00C47676" w:rsidP="00A40B11">
      <w:pPr>
        <w:jc w:val="both"/>
        <w:rPr>
          <w:b/>
          <w:bCs/>
        </w:rPr>
      </w:pPr>
      <w:r w:rsidRPr="00336079">
        <w:rPr>
          <w:b/>
          <w:bCs/>
        </w:rPr>
        <w:lastRenderedPageBreak/>
        <w:t>Research:</w:t>
      </w:r>
    </w:p>
    <w:p w14:paraId="10EC48B2" w14:textId="77777777" w:rsidR="00E84434" w:rsidRDefault="00E84434" w:rsidP="00A40B11">
      <w:pPr>
        <w:jc w:val="both"/>
      </w:pPr>
    </w:p>
    <w:p w14:paraId="467B8A16" w14:textId="03616B37" w:rsidR="00E84434" w:rsidRDefault="00E84434" w:rsidP="00A40B11">
      <w:pPr>
        <w:jc w:val="both"/>
      </w:pPr>
      <w:r>
        <w:t>Research Experience:</w:t>
      </w:r>
    </w:p>
    <w:p w14:paraId="5EF05384" w14:textId="77777777" w:rsidR="00E84434" w:rsidRDefault="00E84434" w:rsidP="00E84434">
      <w:pPr>
        <w:tabs>
          <w:tab w:val="right" w:pos="10800"/>
        </w:tabs>
      </w:pPr>
      <w:r>
        <w:rPr>
          <w:b/>
          <w:bCs/>
          <w:sz w:val="21"/>
          <w:szCs w:val="21"/>
        </w:rPr>
        <w:t>Graduate Research Assistant, NSF-Funded Project</w:t>
      </w:r>
      <w:r>
        <w:rPr>
          <w:b/>
          <w:bCs/>
          <w:sz w:val="21"/>
          <w:szCs w:val="21"/>
        </w:rPr>
        <w:tab/>
        <w:t>(Fall 2023 – Fall 2024)</w:t>
      </w:r>
    </w:p>
    <w:p w14:paraId="44C0D142" w14:textId="77777777" w:rsidR="00E84434" w:rsidRDefault="00E84434" w:rsidP="00E84434">
      <w:r>
        <w:rPr>
          <w:sz w:val="21"/>
          <w:szCs w:val="21"/>
        </w:rPr>
        <w:t>Southern Illinois University Carbondale</w:t>
      </w:r>
    </w:p>
    <w:p w14:paraId="3428B6CE" w14:textId="77777777" w:rsidR="00E84434" w:rsidRDefault="00E84434" w:rsidP="00E84434">
      <w:pPr>
        <w:pStyle w:val="ListParagraph"/>
        <w:numPr>
          <w:ilvl w:val="0"/>
          <w:numId w:val="1"/>
        </w:numPr>
        <w:spacing w:after="40" w:line="240" w:lineRule="auto"/>
        <w:contextualSpacing w:val="0"/>
      </w:pPr>
      <w:r>
        <w:rPr>
          <w:sz w:val="21"/>
          <w:szCs w:val="21"/>
        </w:rPr>
        <w:t>Contributed to an NSF-funded project on privacy protection in spectrum-sharing markets, examining trade-offs between data privacy, efficiency, and market pricing mechanisms.</w:t>
      </w:r>
    </w:p>
    <w:p w14:paraId="18F9D0E8" w14:textId="77777777" w:rsidR="00E84434" w:rsidRDefault="00E84434" w:rsidP="00E84434">
      <w:pPr>
        <w:pStyle w:val="ListParagraph"/>
        <w:numPr>
          <w:ilvl w:val="0"/>
          <w:numId w:val="1"/>
        </w:numPr>
        <w:spacing w:after="40" w:line="240" w:lineRule="auto"/>
        <w:contextualSpacing w:val="0"/>
      </w:pPr>
      <w:r>
        <w:rPr>
          <w:sz w:val="21"/>
          <w:szCs w:val="21"/>
        </w:rPr>
        <w:t>Developed an economic model demonstrating how privacy zones influence the buyer-seller network and affect equilibrium pricing.</w:t>
      </w:r>
    </w:p>
    <w:p w14:paraId="42D0267A" w14:textId="77777777" w:rsidR="00E84434" w:rsidRDefault="00E84434" w:rsidP="00E84434">
      <w:pPr>
        <w:pStyle w:val="ListParagraph"/>
        <w:numPr>
          <w:ilvl w:val="0"/>
          <w:numId w:val="1"/>
        </w:numPr>
        <w:spacing w:after="40" w:line="240" w:lineRule="auto"/>
        <w:contextualSpacing w:val="0"/>
      </w:pPr>
      <w:r>
        <w:rPr>
          <w:sz w:val="21"/>
          <w:szCs w:val="21"/>
        </w:rPr>
        <w:t>Analyzed how privacy mechanisms increase buyer payoffs and shape primary-user pricing strategies, leading to competitive versus monopoly pricing outcomes.</w:t>
      </w:r>
    </w:p>
    <w:p w14:paraId="4660FA20" w14:textId="77777777" w:rsidR="00E84434" w:rsidRDefault="00E84434" w:rsidP="00E84434">
      <w:pPr>
        <w:pStyle w:val="ListParagraph"/>
        <w:numPr>
          <w:ilvl w:val="0"/>
          <w:numId w:val="1"/>
        </w:numPr>
        <w:spacing w:after="40" w:line="240" w:lineRule="auto"/>
        <w:contextualSpacing w:val="0"/>
      </w:pPr>
      <w:r>
        <w:rPr>
          <w:sz w:val="21"/>
          <w:szCs w:val="21"/>
        </w:rPr>
        <w:t>Used game theory and computational simulations to model strategic interactions between primary and secondary users in the spectrum-sharing market.</w:t>
      </w:r>
    </w:p>
    <w:p w14:paraId="75CDEC3E" w14:textId="77777777" w:rsidR="00E84434" w:rsidRDefault="00E84434" w:rsidP="00A40B11">
      <w:pPr>
        <w:jc w:val="both"/>
      </w:pPr>
    </w:p>
    <w:p w14:paraId="1ED5283B" w14:textId="084763F6" w:rsidR="00C47676" w:rsidRDefault="00C47676" w:rsidP="00A40B11">
      <w:pPr>
        <w:jc w:val="both"/>
      </w:pPr>
      <w:r>
        <w:t xml:space="preserve">Working Papers </w:t>
      </w:r>
    </w:p>
    <w:p w14:paraId="6964731F" w14:textId="3AD264F6" w:rsidR="00C47676" w:rsidRDefault="00C47676" w:rsidP="00C47676">
      <w:r>
        <w:rPr>
          <w:b/>
          <w:bCs/>
          <w:sz w:val="21"/>
          <w:szCs w:val="21"/>
        </w:rPr>
        <w:t>Higher Education and Its Effect on Political Participation: Evidence from Egypt</w:t>
      </w:r>
      <w:r>
        <w:t xml:space="preserve"> (Job Market Paper)</w:t>
      </w:r>
    </w:p>
    <w:p w14:paraId="22D1AB7B" w14:textId="77777777" w:rsidR="00C47676" w:rsidRDefault="00C47676" w:rsidP="00C47676">
      <w:r>
        <w:t>Abstract:</w:t>
      </w:r>
    </w:p>
    <w:p w14:paraId="60AC6546" w14:textId="77777777" w:rsidR="00C47676" w:rsidRPr="00AD34D9" w:rsidRDefault="00C47676" w:rsidP="00C47676">
      <w:pPr>
        <w:spacing w:line="259" w:lineRule="auto"/>
        <w:jc w:val="both"/>
        <w:rPr>
          <w:i/>
        </w:rPr>
      </w:pPr>
      <w:r w:rsidRPr="0022411A">
        <w:rPr>
          <w:i/>
          <w:iCs/>
        </w:rPr>
        <w:t>Higher education plays a significant role in both monetary and social or non-monetary benefits; for instance, education can foster a robust democracy by encouraging political engagement and other forms of political participation</w:t>
      </w:r>
      <w:r>
        <w:rPr>
          <w:i/>
          <w:iCs/>
        </w:rPr>
        <w:t xml:space="preserve">. Although the role of government spending on higher education has been studied before, very few studies emphasize the political participation outcomes, especially evidence from a developing authoritarian context is very limited. This study investigates the impact of increasing access to higher education in Egypt through the abolition of university fees and the large-scale construction of public universities during the 1960s on long-term political participation, as a natural experiment. Using repeated cross-sectional data from the World Values Survey, we analyze the impact by exploiting variation in birth cohorts’ exposure to reforms. We use five measures of political engagement, including political interest, electoral participation (voting), and non-electoral political activities (signing petitions, joining boycotts and lawful demonstrations). We found that this increasing access to university education significantly increased university attainment. However, the result shows heterogeneous effects across different political participation. Compared to men, women benefited less from this university expansion in terms of university education attainment; however, we observe a stronger influence on women’s political participation than on men. </w:t>
      </w:r>
    </w:p>
    <w:p w14:paraId="3182537B" w14:textId="77777777" w:rsidR="00C47676" w:rsidRPr="009E5397" w:rsidRDefault="00C47676" w:rsidP="00C47676">
      <w:pPr>
        <w:spacing w:line="259" w:lineRule="auto"/>
        <w:jc w:val="both"/>
        <w:rPr>
          <w:iCs/>
        </w:rPr>
      </w:pPr>
      <w:r>
        <w:rPr>
          <w:b/>
          <w:bCs/>
          <w:iCs/>
        </w:rPr>
        <w:t xml:space="preserve">Key Words: </w:t>
      </w:r>
      <w:r>
        <w:rPr>
          <w:iCs/>
        </w:rPr>
        <w:t>Higher education expansion, political participation, authoritarian context, gender gap</w:t>
      </w:r>
    </w:p>
    <w:p w14:paraId="7F9E2401" w14:textId="77777777" w:rsidR="00C47676" w:rsidRDefault="00C47676" w:rsidP="00C47676"/>
    <w:p w14:paraId="2A285636" w14:textId="77777777" w:rsidR="00C47676" w:rsidRDefault="00C47676" w:rsidP="00C47676">
      <w:pPr>
        <w:rPr>
          <w:b/>
          <w:bCs/>
        </w:rPr>
      </w:pPr>
      <w:r w:rsidRPr="00C47676">
        <w:rPr>
          <w:b/>
          <w:bCs/>
        </w:rPr>
        <w:t xml:space="preserve">Privacy preservation and efficiency in a buyer-seller network: The case of spectrum sharing </w:t>
      </w:r>
    </w:p>
    <w:p w14:paraId="13A486FD" w14:textId="2622297C" w:rsidR="00C47676" w:rsidRDefault="00C47676" w:rsidP="00C47676">
      <w:pPr>
        <w:rPr>
          <w:b/>
          <w:bCs/>
        </w:rPr>
      </w:pPr>
      <w:r>
        <w:rPr>
          <w:b/>
          <w:bCs/>
        </w:rPr>
        <w:t>Abstract:</w:t>
      </w:r>
    </w:p>
    <w:p w14:paraId="29796A3A" w14:textId="77777777" w:rsidR="00C47676" w:rsidRPr="00C47676" w:rsidRDefault="00C47676" w:rsidP="00C47676">
      <w:r w:rsidRPr="00C47676">
        <w:rPr>
          <w:i/>
          <w:iCs/>
        </w:rPr>
        <w:t xml:space="preserve">Radio spectrum is a finite resource with increasing demand due to its wide range of usage in different applications such as mobile phones and IoT devices. Spectrum can be used more efficiently if licensed primary users share their unused spectrum with secondary users. Typically, these types of sharing trades require user’s location information; protecting user privacy is crucial to prevent market manipulation and unlawful activities. A model is presented where primary users offer a price to linked secondary users for trading unused spectrum. We use a partially linked trading graph where the locations of each user define the network exogenously. The presented concept of privacy zone provides a generalized range of the user's location which hides the location information and offers privacy protection. Within this framework, we find that single-linked buyers receive offers first but must pay high prices, and that buyers may encounter two prices in equilibrium if they have larger privacy zones. Additionally, the Nash equilibrium result demonstrates that privacy protection increases the payoff of secondary users thus secondary users always prefer to choose privacy protection and primary user chooses monopoly or competitive price depending on the probability that secondary user is single linked. </w:t>
      </w:r>
    </w:p>
    <w:p w14:paraId="09050162" w14:textId="2012CA45" w:rsidR="00C47676" w:rsidRPr="00C47676" w:rsidRDefault="00C47676" w:rsidP="00C47676">
      <w:r w:rsidRPr="00C47676">
        <w:rPr>
          <w:b/>
          <w:bCs/>
        </w:rPr>
        <w:t>Key Words:</w:t>
      </w:r>
      <w:r w:rsidRPr="00C47676">
        <w:t xml:space="preserve"> spectrum sharing, privacy protection, market price, payoff.</w:t>
      </w:r>
    </w:p>
    <w:p w14:paraId="10778D99" w14:textId="68800DF6" w:rsidR="00C47676" w:rsidRDefault="00C47676" w:rsidP="00C47676">
      <w:pPr>
        <w:rPr>
          <w:b/>
          <w:bCs/>
        </w:rPr>
      </w:pPr>
      <w:r w:rsidRPr="00C47676">
        <w:rPr>
          <w:b/>
          <w:bCs/>
        </w:rPr>
        <w:t xml:space="preserve">Does Higher Education Influence Gender Role Attitudes? Evidence From Egypt </w:t>
      </w:r>
    </w:p>
    <w:p w14:paraId="74FAAD66" w14:textId="77777777" w:rsidR="0075197F" w:rsidRPr="0075197F" w:rsidRDefault="0075197F" w:rsidP="0075197F">
      <w:pPr>
        <w:rPr>
          <w:b/>
          <w:bCs/>
        </w:rPr>
      </w:pPr>
      <w:r w:rsidRPr="0075197F">
        <w:rPr>
          <w:b/>
          <w:bCs/>
        </w:rPr>
        <w:t>Abstract</w:t>
      </w:r>
    </w:p>
    <w:p w14:paraId="4FDB0C9A" w14:textId="77777777" w:rsidR="0075197F" w:rsidRDefault="0075197F" w:rsidP="0075197F">
      <w:r w:rsidRPr="0075197F">
        <w:t>This paper examines whether expanding access to higher education shapes gender role attitudes, using Egypt's 1963 public university fee abolition policy, followed by large-scale university construction, as a natural experiment. Between 1963 and 1976, the Egyptian government eliminated tuition at public universities and established 15 new universities across previously underserved provinces, transforming higher education from an elite privilege into a mass system. Exploiting birth-cohort variation in exposure to this reform and using repeated cross-sectional data from the World Values Survey, we estimate the reform's effect on gender attitudes. We use ordinary least squares (OLS) to estimate the reduced-form effect of cohort-level reform exposure, and two-stage least squares (2SLS), instrumenting university attainment with this exposure, to estimate the causal effect of actual university education. We also explore this reform's impact by gender.</w:t>
      </w:r>
    </w:p>
    <w:p w14:paraId="05730732" w14:textId="1278BEFC" w:rsidR="0075197F" w:rsidRDefault="00E84434" w:rsidP="0075197F">
      <w:r w:rsidRPr="0075197F">
        <w:rPr>
          <w:b/>
          <w:bCs/>
        </w:rPr>
        <w:t>Keywords</w:t>
      </w:r>
      <w:r>
        <w:t>: Higher</w:t>
      </w:r>
      <w:r w:rsidR="0075197F" w:rsidRPr="0075197F">
        <w:t xml:space="preserve"> Education</w:t>
      </w:r>
      <w:r w:rsidR="0075197F">
        <w:t>,</w:t>
      </w:r>
      <w:r w:rsidR="0075197F" w:rsidRPr="0075197F">
        <w:t xml:space="preserve"> Gender Role Attitudes</w:t>
      </w:r>
      <w:r w:rsidR="0075197F">
        <w:t xml:space="preserve">, </w:t>
      </w:r>
      <w:r>
        <w:t>Gender norm</w:t>
      </w:r>
    </w:p>
    <w:p w14:paraId="633C8889" w14:textId="2BFBA3EC" w:rsidR="00E84434" w:rsidRDefault="00E84434" w:rsidP="0075197F">
      <w:pPr>
        <w:rPr>
          <w:b/>
          <w:bCs/>
        </w:rPr>
      </w:pPr>
      <w:r w:rsidRPr="00E84434">
        <w:rPr>
          <w:b/>
          <w:bCs/>
        </w:rPr>
        <w:lastRenderedPageBreak/>
        <w:t xml:space="preserve">Work in Progress: </w:t>
      </w:r>
    </w:p>
    <w:p w14:paraId="36F763E2" w14:textId="77777777" w:rsidR="00E84434" w:rsidRDefault="00E84434" w:rsidP="00E84434">
      <w:r>
        <w:rPr>
          <w:b/>
          <w:bCs/>
          <w:sz w:val="21"/>
          <w:szCs w:val="21"/>
        </w:rPr>
        <w:t xml:space="preserve">The Composition of State Taxation and Business Dynamism: Evidence from U.S. Firm Entry and Job Flows, 1978–2022 (with Yaren </w:t>
      </w:r>
      <w:proofErr w:type="spellStart"/>
      <w:r>
        <w:rPr>
          <w:b/>
          <w:bCs/>
          <w:sz w:val="21"/>
          <w:szCs w:val="21"/>
        </w:rPr>
        <w:t>Gocer</w:t>
      </w:r>
      <w:proofErr w:type="spellEnd"/>
      <w:r>
        <w:rPr>
          <w:b/>
          <w:bCs/>
          <w:sz w:val="21"/>
          <w:szCs w:val="21"/>
        </w:rPr>
        <w:t xml:space="preserve"> and Mahesh M. Dhole)</w:t>
      </w:r>
    </w:p>
    <w:p w14:paraId="0F61DE99" w14:textId="5769FC58" w:rsidR="00E84434" w:rsidRDefault="00E84434" w:rsidP="0075197F">
      <w:pPr>
        <w:rPr>
          <w:b/>
          <w:bCs/>
        </w:rPr>
      </w:pPr>
      <w:r>
        <w:rPr>
          <w:b/>
          <w:bCs/>
        </w:rPr>
        <w:t>Abstract:</w:t>
      </w:r>
    </w:p>
    <w:p w14:paraId="38424077" w14:textId="55C3EBC8" w:rsidR="00E84434" w:rsidRPr="00E84434" w:rsidRDefault="00E84434" w:rsidP="0075197F">
      <w:r w:rsidRPr="00E84434">
        <w:t>States must tax something, but what they tax varies widely. This paper asks whether the composition of state taxation—capital versus labor—affects business dynamism: firm entry and the job creation it generates. We link a forty-five-year panel of state tax rates to the Census Bureau's Business Dynamics Statistics and use three complementary designs: a two-way fixed-effects state-year panel, a saturated state-sector-year design interacting capital-tax pressure with sector capital intensity, and a county panel isolating the local property tax. Point estimates carry the sign theory predicts—capital-tax pressure lowers entry and job creation in capital-intensive sectors while labor-tax pressure does not—but they are economically small and statistically fragile under wild-cluster bootstrap inference and event-study designs, implying that the effect of tax composition on aggregate dynamism is too small to detect with public, design-based data.</w:t>
      </w:r>
    </w:p>
    <w:p w14:paraId="1095306F" w14:textId="77777777" w:rsidR="00E84434" w:rsidRDefault="00E84434" w:rsidP="0075197F"/>
    <w:p w14:paraId="006AEE6B" w14:textId="77777777" w:rsidR="00E84434" w:rsidRDefault="00E84434" w:rsidP="0075197F"/>
    <w:p w14:paraId="35F3D7C5" w14:textId="77777777" w:rsidR="00E84434" w:rsidRDefault="00E84434" w:rsidP="0075197F"/>
    <w:p w14:paraId="10116AB7" w14:textId="333DA39E" w:rsidR="00E84434" w:rsidRPr="00E84434" w:rsidRDefault="00E84434" w:rsidP="0075197F">
      <w:pPr>
        <w:rPr>
          <w:u w:val="single"/>
        </w:rPr>
      </w:pPr>
      <w:r w:rsidRPr="00E84434">
        <w:rPr>
          <w:u w:val="single"/>
        </w:rPr>
        <w:t>Conference and presentations:</w:t>
      </w:r>
    </w:p>
    <w:p w14:paraId="482B833F" w14:textId="77777777" w:rsidR="00E84434" w:rsidRDefault="00E84434" w:rsidP="00E84434">
      <w:pPr>
        <w:spacing w:after="40"/>
      </w:pPr>
      <w:r>
        <w:rPr>
          <w:sz w:val="21"/>
          <w:szCs w:val="21"/>
        </w:rPr>
        <w:t>Midwest Economics Association Annual Meetings, Chicago, IL (2026)</w:t>
      </w:r>
    </w:p>
    <w:p w14:paraId="4856DE5B" w14:textId="77777777" w:rsidR="00E84434" w:rsidRDefault="00E84434" w:rsidP="00E84434">
      <w:pPr>
        <w:spacing w:after="40"/>
      </w:pPr>
      <w:r>
        <w:rPr>
          <w:sz w:val="21"/>
          <w:szCs w:val="21"/>
        </w:rPr>
        <w:t>Southern Economic Association, 95th Annual Meeting, Tampa, FL (2025)</w:t>
      </w:r>
    </w:p>
    <w:p w14:paraId="479D1410" w14:textId="77777777" w:rsidR="00E84434" w:rsidRDefault="00E84434" w:rsidP="00E84434">
      <w:pPr>
        <w:spacing w:after="40"/>
      </w:pPr>
      <w:r>
        <w:rPr>
          <w:sz w:val="21"/>
          <w:szCs w:val="21"/>
        </w:rPr>
        <w:t>Brown Bag Seminar, Southern Illinois University Carbondale (2025)</w:t>
      </w:r>
    </w:p>
    <w:p w14:paraId="70177CD5" w14:textId="77777777" w:rsidR="00E84434" w:rsidRDefault="00E84434" w:rsidP="00E84434">
      <w:pPr>
        <w:spacing w:after="40"/>
      </w:pPr>
      <w:r>
        <w:rPr>
          <w:sz w:val="21"/>
          <w:szCs w:val="21"/>
        </w:rPr>
        <w:t>Southern Economic Association, 94th Annual Meeting, Washington, DC (2024)</w:t>
      </w:r>
    </w:p>
    <w:p w14:paraId="501CDB1C" w14:textId="77777777" w:rsidR="00E84434" w:rsidRDefault="00E84434" w:rsidP="00E84434">
      <w:r>
        <w:rPr>
          <w:sz w:val="21"/>
          <w:szCs w:val="21"/>
        </w:rPr>
        <w:t>Brown Bag Seminar, Southern Illinois University Carbondale (2024)</w:t>
      </w:r>
    </w:p>
    <w:p w14:paraId="7225E7E1" w14:textId="77777777" w:rsidR="00E84434" w:rsidRDefault="00E84434" w:rsidP="0075197F"/>
    <w:p w14:paraId="156FAEA8" w14:textId="7FEC1E22" w:rsidR="0085091D" w:rsidRDefault="0085091D" w:rsidP="0075197F">
      <w:r>
        <w:t>Research Awards:</w:t>
      </w:r>
    </w:p>
    <w:p w14:paraId="74003528" w14:textId="77777777" w:rsidR="0085091D" w:rsidRDefault="0085091D" w:rsidP="0085091D">
      <w:pPr>
        <w:spacing w:after="40" w:line="240" w:lineRule="auto"/>
      </w:pPr>
      <w:r w:rsidRPr="0085091D">
        <w:rPr>
          <w:sz w:val="21"/>
          <w:szCs w:val="21"/>
        </w:rPr>
        <w:t>Dissertation Research Assistantship Award, SIU Carbondale (2025–2026)</w:t>
      </w:r>
    </w:p>
    <w:p w14:paraId="45301AF0" w14:textId="77777777" w:rsidR="0085091D" w:rsidRPr="0075197F" w:rsidRDefault="0085091D" w:rsidP="0075197F"/>
    <w:p w14:paraId="6776AE99" w14:textId="77777777" w:rsidR="0075197F" w:rsidRDefault="0075197F" w:rsidP="00C47676">
      <w:pPr>
        <w:rPr>
          <w:b/>
          <w:bCs/>
        </w:rPr>
      </w:pPr>
    </w:p>
    <w:p w14:paraId="7E0A8E23" w14:textId="6A065854" w:rsidR="00C47676" w:rsidRPr="00A40B11" w:rsidRDefault="00C47676" w:rsidP="00C47676">
      <w:r>
        <w:t xml:space="preserve"> </w:t>
      </w:r>
    </w:p>
    <w:p w14:paraId="52E3A915" w14:textId="77777777" w:rsidR="00080456" w:rsidRDefault="00080456" w:rsidP="00047F7B"/>
    <w:p w14:paraId="7CB595CE" w14:textId="4008DB3C" w:rsidR="0085091D" w:rsidRPr="00336079" w:rsidRDefault="0085091D" w:rsidP="00047F7B">
      <w:pPr>
        <w:rPr>
          <w:rFonts w:ascii="Times New Roman" w:hAnsi="Times New Roman" w:cs="Times New Roman"/>
          <w:b/>
          <w:bCs/>
        </w:rPr>
      </w:pPr>
      <w:r w:rsidRPr="00336079">
        <w:rPr>
          <w:rFonts w:ascii="Times New Roman" w:hAnsi="Times New Roman" w:cs="Times New Roman"/>
          <w:b/>
          <w:bCs/>
        </w:rPr>
        <w:lastRenderedPageBreak/>
        <w:t>Teaching:</w:t>
      </w:r>
    </w:p>
    <w:p w14:paraId="64D53611" w14:textId="54298071" w:rsidR="0085091D" w:rsidRPr="00336079" w:rsidRDefault="0085091D" w:rsidP="00047F7B">
      <w:pPr>
        <w:rPr>
          <w:rFonts w:ascii="Times New Roman" w:hAnsi="Times New Roman" w:cs="Times New Roman"/>
        </w:rPr>
      </w:pPr>
      <w:r w:rsidRPr="00336079">
        <w:rPr>
          <w:rFonts w:ascii="Times New Roman" w:hAnsi="Times New Roman" w:cs="Times New Roman"/>
        </w:rPr>
        <w:t>Courses Taught</w:t>
      </w:r>
    </w:p>
    <w:p w14:paraId="6A68F4E6" w14:textId="660B4B83" w:rsidR="0085091D" w:rsidRPr="00336079" w:rsidRDefault="0085091D" w:rsidP="00047F7B">
      <w:pPr>
        <w:rPr>
          <w:rFonts w:ascii="Times New Roman" w:hAnsi="Times New Roman" w:cs="Times New Roman"/>
          <w:b/>
          <w:bCs/>
        </w:rPr>
      </w:pPr>
      <w:r w:rsidRPr="00336079">
        <w:rPr>
          <w:rFonts w:ascii="Times New Roman" w:hAnsi="Times New Roman" w:cs="Times New Roman"/>
          <w:b/>
          <w:bCs/>
        </w:rPr>
        <w:t xml:space="preserve">Southern </w:t>
      </w:r>
      <w:proofErr w:type="spellStart"/>
      <w:r w:rsidRPr="00336079">
        <w:rPr>
          <w:rFonts w:ascii="Times New Roman" w:hAnsi="Times New Roman" w:cs="Times New Roman"/>
          <w:b/>
          <w:bCs/>
        </w:rPr>
        <w:t>illinois</w:t>
      </w:r>
      <w:proofErr w:type="spellEnd"/>
      <w:r w:rsidRPr="00336079">
        <w:rPr>
          <w:rFonts w:ascii="Times New Roman" w:hAnsi="Times New Roman" w:cs="Times New Roman"/>
          <w:b/>
          <w:bCs/>
        </w:rPr>
        <w:t xml:space="preserve"> university Carbondale</w:t>
      </w:r>
    </w:p>
    <w:p w14:paraId="17929257" w14:textId="1ACC83EC" w:rsidR="0085091D" w:rsidRPr="00336079" w:rsidRDefault="0085091D" w:rsidP="00047F7B">
      <w:pPr>
        <w:rPr>
          <w:rFonts w:ascii="Times New Roman" w:hAnsi="Times New Roman" w:cs="Times New Roman"/>
        </w:rPr>
      </w:pPr>
      <w:r w:rsidRPr="00336079">
        <w:rPr>
          <w:rFonts w:ascii="Times New Roman" w:hAnsi="Times New Roman" w:cs="Times New Roman"/>
          <w:sz w:val="21"/>
          <w:szCs w:val="21"/>
        </w:rPr>
        <w:t xml:space="preserve">ECON </w:t>
      </w:r>
      <w:proofErr w:type="gramStart"/>
      <w:r w:rsidRPr="00336079">
        <w:rPr>
          <w:rFonts w:ascii="Times New Roman" w:hAnsi="Times New Roman" w:cs="Times New Roman"/>
          <w:sz w:val="21"/>
          <w:szCs w:val="21"/>
        </w:rPr>
        <w:t>334</w:t>
      </w:r>
      <w:r w:rsidRPr="00336079">
        <w:rPr>
          <w:rFonts w:ascii="Times New Roman" w:hAnsi="Times New Roman" w:cs="Times New Roman"/>
          <w:sz w:val="21"/>
          <w:szCs w:val="21"/>
        </w:rPr>
        <w:t xml:space="preserve"> :</w:t>
      </w:r>
      <w:proofErr w:type="gramEnd"/>
      <w:r w:rsidRPr="00336079">
        <w:rPr>
          <w:rFonts w:ascii="Times New Roman" w:hAnsi="Times New Roman" w:cs="Times New Roman"/>
          <w:sz w:val="21"/>
          <w:szCs w:val="21"/>
        </w:rPr>
        <w:t xml:space="preserve"> </w:t>
      </w:r>
      <w:r w:rsidRPr="00336079">
        <w:rPr>
          <w:rFonts w:ascii="Times New Roman" w:hAnsi="Times New Roman" w:cs="Times New Roman"/>
          <w:sz w:val="21"/>
          <w:szCs w:val="21"/>
        </w:rPr>
        <w:t>Health Economics</w:t>
      </w:r>
      <w:r w:rsidRPr="00336079">
        <w:rPr>
          <w:rFonts w:ascii="Times New Roman" w:hAnsi="Times New Roman" w:cs="Times New Roman"/>
          <w:sz w:val="21"/>
          <w:szCs w:val="21"/>
        </w:rPr>
        <w:t xml:space="preserve"> – Instructor of record </w:t>
      </w:r>
      <w:r w:rsidRPr="00336079">
        <w:rPr>
          <w:rFonts w:ascii="Times New Roman" w:hAnsi="Times New Roman" w:cs="Times New Roman"/>
          <w:sz w:val="21"/>
          <w:szCs w:val="21"/>
        </w:rPr>
        <w:t>(Summer 2025)</w:t>
      </w:r>
    </w:p>
    <w:p w14:paraId="4E596099" w14:textId="0B3E0223" w:rsidR="00047F7B" w:rsidRPr="00336079" w:rsidRDefault="0085091D" w:rsidP="003203E6">
      <w:pPr>
        <w:rPr>
          <w:rFonts w:ascii="Times New Roman" w:hAnsi="Times New Roman" w:cs="Times New Roman"/>
        </w:rPr>
      </w:pPr>
      <w:r w:rsidRPr="00336079">
        <w:rPr>
          <w:rFonts w:ascii="Times New Roman" w:hAnsi="Times New Roman" w:cs="Times New Roman"/>
        </w:rPr>
        <w:t>Syllabus</w:t>
      </w:r>
    </w:p>
    <w:p w14:paraId="5AC66D2E" w14:textId="3FCC9BBF" w:rsidR="0085091D" w:rsidRPr="00336079" w:rsidRDefault="0085091D" w:rsidP="0085091D">
      <w:pPr>
        <w:rPr>
          <w:rFonts w:ascii="Times New Roman" w:hAnsi="Times New Roman" w:cs="Times New Roman"/>
          <w:sz w:val="21"/>
          <w:szCs w:val="21"/>
        </w:rPr>
      </w:pPr>
      <w:r w:rsidRPr="00336079">
        <w:rPr>
          <w:rFonts w:ascii="Times New Roman" w:hAnsi="Times New Roman" w:cs="Times New Roman"/>
          <w:sz w:val="21"/>
          <w:szCs w:val="21"/>
        </w:rPr>
        <w:t>ECON 113</w:t>
      </w:r>
      <w:r w:rsidRPr="00336079">
        <w:rPr>
          <w:rFonts w:ascii="Times New Roman" w:hAnsi="Times New Roman" w:cs="Times New Roman"/>
          <w:sz w:val="21"/>
          <w:szCs w:val="21"/>
        </w:rPr>
        <w:t xml:space="preserve">: </w:t>
      </w:r>
      <w:r w:rsidRPr="00336079">
        <w:rPr>
          <w:rFonts w:ascii="Times New Roman" w:hAnsi="Times New Roman" w:cs="Times New Roman"/>
          <w:sz w:val="21"/>
          <w:szCs w:val="21"/>
        </w:rPr>
        <w:t>Economics of Contemporary Social Issues</w:t>
      </w:r>
      <w:r w:rsidRPr="00336079">
        <w:rPr>
          <w:rFonts w:ascii="Times New Roman" w:hAnsi="Times New Roman" w:cs="Times New Roman"/>
          <w:sz w:val="21"/>
          <w:szCs w:val="21"/>
        </w:rPr>
        <w:t xml:space="preserve"> - </w:t>
      </w:r>
      <w:r w:rsidRPr="00336079">
        <w:rPr>
          <w:rFonts w:ascii="Times New Roman" w:hAnsi="Times New Roman" w:cs="Times New Roman"/>
          <w:sz w:val="21"/>
          <w:szCs w:val="21"/>
        </w:rPr>
        <w:t>Instructor of record (S</w:t>
      </w:r>
      <w:r w:rsidRPr="00336079">
        <w:rPr>
          <w:rFonts w:ascii="Times New Roman" w:hAnsi="Times New Roman" w:cs="Times New Roman"/>
          <w:sz w:val="21"/>
          <w:szCs w:val="21"/>
        </w:rPr>
        <w:t>pring</w:t>
      </w:r>
      <w:r w:rsidRPr="00336079">
        <w:rPr>
          <w:rFonts w:ascii="Times New Roman" w:hAnsi="Times New Roman" w:cs="Times New Roman"/>
          <w:sz w:val="21"/>
          <w:szCs w:val="21"/>
        </w:rPr>
        <w:t xml:space="preserve"> 2025)</w:t>
      </w:r>
    </w:p>
    <w:p w14:paraId="66E39107" w14:textId="77777777" w:rsidR="0085091D" w:rsidRPr="00336079" w:rsidRDefault="0085091D" w:rsidP="0085091D">
      <w:pPr>
        <w:rPr>
          <w:rFonts w:ascii="Times New Roman" w:hAnsi="Times New Roman" w:cs="Times New Roman"/>
        </w:rPr>
      </w:pPr>
      <w:r w:rsidRPr="00336079">
        <w:rPr>
          <w:rFonts w:ascii="Times New Roman" w:hAnsi="Times New Roman" w:cs="Times New Roman"/>
        </w:rPr>
        <w:t>Syllabus</w:t>
      </w:r>
    </w:p>
    <w:p w14:paraId="1E8652AD" w14:textId="77777777" w:rsidR="0085091D" w:rsidRPr="00336079" w:rsidRDefault="0085091D" w:rsidP="0085091D">
      <w:pPr>
        <w:tabs>
          <w:tab w:val="right" w:pos="10800"/>
        </w:tabs>
        <w:spacing w:before="60"/>
        <w:rPr>
          <w:rFonts w:ascii="Times New Roman" w:hAnsi="Times New Roman" w:cs="Times New Roman"/>
          <w:sz w:val="21"/>
          <w:szCs w:val="21"/>
        </w:rPr>
      </w:pPr>
      <w:r w:rsidRPr="00336079">
        <w:rPr>
          <w:rFonts w:ascii="Times New Roman" w:hAnsi="Times New Roman" w:cs="Times New Roman"/>
          <w:sz w:val="21"/>
          <w:szCs w:val="21"/>
        </w:rPr>
        <w:t xml:space="preserve">ECON </w:t>
      </w:r>
      <w:proofErr w:type="gramStart"/>
      <w:r w:rsidRPr="00336079">
        <w:rPr>
          <w:rFonts w:ascii="Times New Roman" w:hAnsi="Times New Roman" w:cs="Times New Roman"/>
          <w:sz w:val="21"/>
          <w:szCs w:val="21"/>
        </w:rPr>
        <w:t>240</w:t>
      </w:r>
      <w:r w:rsidRPr="00336079">
        <w:rPr>
          <w:rFonts w:ascii="Times New Roman" w:hAnsi="Times New Roman" w:cs="Times New Roman"/>
          <w:sz w:val="21"/>
          <w:szCs w:val="21"/>
        </w:rPr>
        <w:t xml:space="preserve"> :</w:t>
      </w:r>
      <w:proofErr w:type="gramEnd"/>
      <w:r w:rsidRPr="00336079">
        <w:rPr>
          <w:rFonts w:ascii="Times New Roman" w:hAnsi="Times New Roman" w:cs="Times New Roman"/>
          <w:sz w:val="21"/>
          <w:szCs w:val="21"/>
        </w:rPr>
        <w:t xml:space="preserve"> </w:t>
      </w:r>
      <w:r w:rsidRPr="00336079">
        <w:rPr>
          <w:rFonts w:ascii="Times New Roman" w:hAnsi="Times New Roman" w:cs="Times New Roman"/>
          <w:sz w:val="21"/>
          <w:szCs w:val="21"/>
        </w:rPr>
        <w:t>Introduction to Microeconomics</w:t>
      </w:r>
      <w:r w:rsidRPr="00336079">
        <w:rPr>
          <w:rFonts w:ascii="Times New Roman" w:hAnsi="Times New Roman" w:cs="Times New Roman"/>
          <w:sz w:val="21"/>
          <w:szCs w:val="21"/>
        </w:rPr>
        <w:t xml:space="preserve"> – Teaching assistant </w:t>
      </w:r>
      <w:r w:rsidRPr="00336079">
        <w:rPr>
          <w:rFonts w:ascii="Times New Roman" w:hAnsi="Times New Roman" w:cs="Times New Roman"/>
          <w:sz w:val="21"/>
          <w:szCs w:val="21"/>
        </w:rPr>
        <w:t>(Fall 2022 – Spring 2023)</w:t>
      </w:r>
    </w:p>
    <w:p w14:paraId="37932425" w14:textId="44B1959C" w:rsidR="0085091D" w:rsidRPr="00336079" w:rsidRDefault="0085091D" w:rsidP="0085091D">
      <w:pPr>
        <w:tabs>
          <w:tab w:val="right" w:pos="10800"/>
        </w:tabs>
        <w:spacing w:before="60"/>
        <w:rPr>
          <w:rFonts w:ascii="Times New Roman" w:hAnsi="Times New Roman" w:cs="Times New Roman"/>
          <w:b/>
          <w:bCs/>
        </w:rPr>
      </w:pPr>
      <w:r w:rsidRPr="00336079">
        <w:rPr>
          <w:rFonts w:ascii="Times New Roman" w:hAnsi="Times New Roman" w:cs="Times New Roman"/>
          <w:b/>
          <w:bCs/>
          <w:sz w:val="21"/>
          <w:szCs w:val="21"/>
        </w:rPr>
        <w:t>BRAC University, Dhaka, Bangladesh</w:t>
      </w:r>
    </w:p>
    <w:p w14:paraId="3818FC55" w14:textId="7778514C" w:rsidR="0085091D" w:rsidRPr="00336079" w:rsidRDefault="0085091D" w:rsidP="0085091D">
      <w:pPr>
        <w:spacing w:after="40" w:line="240" w:lineRule="auto"/>
        <w:rPr>
          <w:rFonts w:ascii="Times New Roman" w:hAnsi="Times New Roman" w:cs="Times New Roman"/>
        </w:rPr>
      </w:pPr>
      <w:r w:rsidRPr="00336079">
        <w:rPr>
          <w:rFonts w:ascii="Times New Roman" w:hAnsi="Times New Roman" w:cs="Times New Roman"/>
          <w:sz w:val="21"/>
          <w:szCs w:val="21"/>
        </w:rPr>
        <w:t>ECO 310: History of Economic Thought</w:t>
      </w:r>
      <w:r w:rsidRPr="00336079">
        <w:rPr>
          <w:rFonts w:ascii="Times New Roman" w:hAnsi="Times New Roman" w:cs="Times New Roman"/>
          <w:sz w:val="21"/>
          <w:szCs w:val="21"/>
        </w:rPr>
        <w:t xml:space="preserve"> – Teaching assistant </w:t>
      </w:r>
      <w:r w:rsidRPr="00336079">
        <w:rPr>
          <w:rFonts w:ascii="Times New Roman" w:hAnsi="Times New Roman" w:cs="Times New Roman"/>
          <w:sz w:val="21"/>
          <w:szCs w:val="21"/>
        </w:rPr>
        <w:t>(Spring 2020 – Spring 2021)</w:t>
      </w:r>
    </w:p>
    <w:p w14:paraId="31951887" w14:textId="0FEA07EA" w:rsidR="0085091D" w:rsidRPr="00336079" w:rsidRDefault="0085091D" w:rsidP="0085091D">
      <w:pPr>
        <w:spacing w:after="40" w:line="240" w:lineRule="auto"/>
        <w:rPr>
          <w:rFonts w:ascii="Times New Roman" w:hAnsi="Times New Roman" w:cs="Times New Roman"/>
        </w:rPr>
      </w:pPr>
      <w:r w:rsidRPr="00336079">
        <w:rPr>
          <w:rFonts w:ascii="Times New Roman" w:hAnsi="Times New Roman" w:cs="Times New Roman"/>
          <w:sz w:val="21"/>
          <w:szCs w:val="21"/>
        </w:rPr>
        <w:t>ECO 306: Urban Economics</w:t>
      </w:r>
      <w:r w:rsidRPr="00336079">
        <w:rPr>
          <w:rFonts w:ascii="Times New Roman" w:hAnsi="Times New Roman" w:cs="Times New Roman"/>
          <w:sz w:val="21"/>
          <w:szCs w:val="21"/>
        </w:rPr>
        <w:t xml:space="preserve"> - </w:t>
      </w:r>
      <w:r w:rsidRPr="00336079">
        <w:rPr>
          <w:rFonts w:ascii="Times New Roman" w:hAnsi="Times New Roman" w:cs="Times New Roman"/>
          <w:sz w:val="21"/>
          <w:szCs w:val="21"/>
        </w:rPr>
        <w:t>Teaching assistant (Spring 2020 – Spring 2021)</w:t>
      </w:r>
    </w:p>
    <w:p w14:paraId="3FDAD01B" w14:textId="1700B2C2" w:rsidR="0085091D" w:rsidRPr="00336079" w:rsidRDefault="0085091D" w:rsidP="0085091D">
      <w:pPr>
        <w:spacing w:after="40" w:line="240" w:lineRule="auto"/>
        <w:rPr>
          <w:rFonts w:ascii="Times New Roman" w:hAnsi="Times New Roman" w:cs="Times New Roman"/>
          <w:sz w:val="21"/>
          <w:szCs w:val="21"/>
        </w:rPr>
      </w:pPr>
      <w:r w:rsidRPr="00336079">
        <w:rPr>
          <w:rFonts w:ascii="Times New Roman" w:hAnsi="Times New Roman" w:cs="Times New Roman"/>
          <w:sz w:val="21"/>
          <w:szCs w:val="21"/>
        </w:rPr>
        <w:t>ECO 313: Environmental Economics</w:t>
      </w:r>
      <w:r w:rsidRPr="00336079">
        <w:rPr>
          <w:rFonts w:ascii="Times New Roman" w:hAnsi="Times New Roman" w:cs="Times New Roman"/>
          <w:sz w:val="21"/>
          <w:szCs w:val="21"/>
        </w:rPr>
        <w:t xml:space="preserve"> - </w:t>
      </w:r>
      <w:r w:rsidRPr="00336079">
        <w:rPr>
          <w:rFonts w:ascii="Times New Roman" w:hAnsi="Times New Roman" w:cs="Times New Roman"/>
          <w:sz w:val="21"/>
          <w:szCs w:val="21"/>
        </w:rPr>
        <w:t>Teaching assistant (Spring 2020 – Spring 2021)</w:t>
      </w:r>
    </w:p>
    <w:p w14:paraId="5FC2FE27" w14:textId="77777777" w:rsidR="0085091D" w:rsidRPr="00336079" w:rsidRDefault="0085091D" w:rsidP="0085091D">
      <w:pPr>
        <w:spacing w:after="40" w:line="240" w:lineRule="auto"/>
        <w:rPr>
          <w:rFonts w:ascii="Times New Roman" w:hAnsi="Times New Roman" w:cs="Times New Roman"/>
          <w:sz w:val="21"/>
          <w:szCs w:val="21"/>
        </w:rPr>
      </w:pPr>
    </w:p>
    <w:p w14:paraId="61197CEB" w14:textId="74B427C1" w:rsidR="0085091D" w:rsidRPr="00336079" w:rsidRDefault="0085091D" w:rsidP="0085091D">
      <w:pPr>
        <w:spacing w:after="40" w:line="240" w:lineRule="auto"/>
        <w:rPr>
          <w:rFonts w:ascii="Times New Roman" w:hAnsi="Times New Roman" w:cs="Times New Roman"/>
          <w:b/>
          <w:bCs/>
          <w:sz w:val="21"/>
          <w:szCs w:val="21"/>
        </w:rPr>
      </w:pPr>
      <w:r w:rsidRPr="00336079">
        <w:rPr>
          <w:rFonts w:ascii="Times New Roman" w:hAnsi="Times New Roman" w:cs="Times New Roman"/>
          <w:b/>
          <w:bCs/>
          <w:sz w:val="21"/>
          <w:szCs w:val="21"/>
        </w:rPr>
        <w:t>Online undergraduate program, College of Business</w:t>
      </w:r>
    </w:p>
    <w:p w14:paraId="6192E431" w14:textId="6926C324" w:rsidR="0085091D" w:rsidRPr="00336079" w:rsidRDefault="0085091D" w:rsidP="0085091D">
      <w:pPr>
        <w:spacing w:after="40" w:line="240" w:lineRule="auto"/>
        <w:rPr>
          <w:rFonts w:ascii="Times New Roman" w:hAnsi="Times New Roman" w:cs="Times New Roman"/>
          <w:sz w:val="21"/>
          <w:szCs w:val="21"/>
        </w:rPr>
      </w:pPr>
      <w:r w:rsidRPr="00336079">
        <w:rPr>
          <w:rFonts w:ascii="Times New Roman" w:hAnsi="Times New Roman" w:cs="Times New Roman"/>
          <w:sz w:val="21"/>
          <w:szCs w:val="21"/>
        </w:rPr>
        <w:t>MGMT 208: Business Data Analysis</w:t>
      </w:r>
      <w:r w:rsidRPr="00336079">
        <w:rPr>
          <w:rFonts w:ascii="Times New Roman" w:hAnsi="Times New Roman" w:cs="Times New Roman"/>
          <w:sz w:val="21"/>
          <w:szCs w:val="21"/>
        </w:rPr>
        <w:t xml:space="preserve"> - </w:t>
      </w:r>
      <w:r w:rsidRPr="00336079">
        <w:rPr>
          <w:rFonts w:ascii="Times New Roman" w:hAnsi="Times New Roman" w:cs="Times New Roman"/>
          <w:sz w:val="21"/>
          <w:szCs w:val="21"/>
        </w:rPr>
        <w:t>Teaching assistant</w:t>
      </w:r>
      <w:r w:rsidRPr="00336079">
        <w:rPr>
          <w:rFonts w:ascii="Times New Roman" w:hAnsi="Times New Roman" w:cs="Times New Roman"/>
          <w:sz w:val="21"/>
          <w:szCs w:val="21"/>
        </w:rPr>
        <w:t xml:space="preserve"> </w:t>
      </w:r>
      <w:proofErr w:type="gramStart"/>
      <w:r w:rsidRPr="00336079">
        <w:rPr>
          <w:rFonts w:ascii="Times New Roman" w:hAnsi="Times New Roman" w:cs="Times New Roman"/>
          <w:sz w:val="21"/>
          <w:szCs w:val="21"/>
        </w:rPr>
        <w:t>( Summer</w:t>
      </w:r>
      <w:proofErr w:type="gramEnd"/>
      <w:r w:rsidRPr="00336079">
        <w:rPr>
          <w:rFonts w:ascii="Times New Roman" w:hAnsi="Times New Roman" w:cs="Times New Roman"/>
          <w:sz w:val="21"/>
          <w:szCs w:val="21"/>
        </w:rPr>
        <w:t xml:space="preserve"> 2026)</w:t>
      </w:r>
    </w:p>
    <w:p w14:paraId="207D7BCC" w14:textId="6302E49B" w:rsidR="0085091D" w:rsidRPr="00336079" w:rsidRDefault="0085091D" w:rsidP="0085091D">
      <w:pPr>
        <w:spacing w:after="40" w:line="240" w:lineRule="auto"/>
        <w:rPr>
          <w:rFonts w:ascii="Times New Roman" w:hAnsi="Times New Roman" w:cs="Times New Roman"/>
          <w:sz w:val="21"/>
          <w:szCs w:val="21"/>
        </w:rPr>
      </w:pPr>
      <w:r w:rsidRPr="00336079">
        <w:rPr>
          <w:rFonts w:ascii="Times New Roman" w:hAnsi="Times New Roman" w:cs="Times New Roman"/>
          <w:sz w:val="21"/>
          <w:szCs w:val="21"/>
        </w:rPr>
        <w:t>MGMT 304: Introduction to Management</w:t>
      </w:r>
      <w:r w:rsidRPr="00336079">
        <w:rPr>
          <w:rFonts w:ascii="Times New Roman" w:hAnsi="Times New Roman" w:cs="Times New Roman"/>
          <w:sz w:val="21"/>
          <w:szCs w:val="21"/>
        </w:rPr>
        <w:t xml:space="preserve"> - </w:t>
      </w:r>
      <w:r w:rsidRPr="00336079">
        <w:rPr>
          <w:rFonts w:ascii="Times New Roman" w:hAnsi="Times New Roman" w:cs="Times New Roman"/>
          <w:sz w:val="21"/>
          <w:szCs w:val="21"/>
        </w:rPr>
        <w:t>Teaching assistant</w:t>
      </w:r>
      <w:r w:rsidRPr="00336079">
        <w:rPr>
          <w:rFonts w:ascii="Times New Roman" w:hAnsi="Times New Roman" w:cs="Times New Roman"/>
          <w:sz w:val="21"/>
          <w:szCs w:val="21"/>
        </w:rPr>
        <w:t xml:space="preserve"> (Summer 2026 – Fall 2026)</w:t>
      </w:r>
    </w:p>
    <w:p w14:paraId="7FD277B3" w14:textId="13E9E24E" w:rsidR="0085091D" w:rsidRPr="00336079" w:rsidRDefault="0085091D" w:rsidP="0085091D">
      <w:pPr>
        <w:spacing w:after="40" w:line="240" w:lineRule="auto"/>
        <w:rPr>
          <w:rFonts w:ascii="Times New Roman" w:hAnsi="Times New Roman" w:cs="Times New Roman"/>
          <w:sz w:val="21"/>
          <w:szCs w:val="21"/>
        </w:rPr>
      </w:pPr>
      <w:r w:rsidRPr="00336079">
        <w:rPr>
          <w:rFonts w:ascii="Times New Roman" w:hAnsi="Times New Roman" w:cs="Times New Roman"/>
          <w:sz w:val="21"/>
          <w:szCs w:val="21"/>
        </w:rPr>
        <w:t>MGMT 446: Leadership and Managerial Behavior</w:t>
      </w:r>
      <w:r w:rsidRPr="00336079">
        <w:rPr>
          <w:rFonts w:ascii="Times New Roman" w:hAnsi="Times New Roman" w:cs="Times New Roman"/>
          <w:sz w:val="21"/>
          <w:szCs w:val="21"/>
        </w:rPr>
        <w:t xml:space="preserve"> - </w:t>
      </w:r>
      <w:r w:rsidRPr="00336079">
        <w:rPr>
          <w:rFonts w:ascii="Times New Roman" w:hAnsi="Times New Roman" w:cs="Times New Roman"/>
          <w:sz w:val="21"/>
          <w:szCs w:val="21"/>
        </w:rPr>
        <w:t xml:space="preserve">Teaching assistant </w:t>
      </w:r>
      <w:proofErr w:type="gramStart"/>
      <w:r w:rsidRPr="00336079">
        <w:rPr>
          <w:rFonts w:ascii="Times New Roman" w:hAnsi="Times New Roman" w:cs="Times New Roman"/>
          <w:sz w:val="21"/>
          <w:szCs w:val="21"/>
        </w:rPr>
        <w:t>( Fall</w:t>
      </w:r>
      <w:proofErr w:type="gramEnd"/>
      <w:r w:rsidRPr="00336079">
        <w:rPr>
          <w:rFonts w:ascii="Times New Roman" w:hAnsi="Times New Roman" w:cs="Times New Roman"/>
          <w:sz w:val="21"/>
          <w:szCs w:val="21"/>
        </w:rPr>
        <w:t xml:space="preserve"> 2026)</w:t>
      </w:r>
    </w:p>
    <w:p w14:paraId="7E0E280B" w14:textId="77777777" w:rsidR="0085091D" w:rsidRDefault="0085091D" w:rsidP="0085091D">
      <w:pPr>
        <w:spacing w:after="40" w:line="240" w:lineRule="auto"/>
        <w:rPr>
          <w:b/>
          <w:bCs/>
          <w:sz w:val="21"/>
          <w:szCs w:val="21"/>
        </w:rPr>
      </w:pPr>
    </w:p>
    <w:p w14:paraId="5DC4CDE6" w14:textId="77777777" w:rsidR="0085091D" w:rsidRDefault="0085091D" w:rsidP="0085091D">
      <w:pPr>
        <w:spacing w:after="40" w:line="240" w:lineRule="auto"/>
      </w:pPr>
    </w:p>
    <w:p w14:paraId="0EDF2650" w14:textId="77777777" w:rsidR="0085091D" w:rsidRDefault="0085091D" w:rsidP="0085091D">
      <w:pPr>
        <w:spacing w:after="40" w:line="240" w:lineRule="auto"/>
      </w:pPr>
    </w:p>
    <w:p w14:paraId="5D1E1A4B" w14:textId="221E7ABC" w:rsidR="0085091D" w:rsidRDefault="0085091D" w:rsidP="0085091D"/>
    <w:p w14:paraId="4CBF946C" w14:textId="09575D40" w:rsidR="0085091D" w:rsidRPr="00047F7B" w:rsidRDefault="0085091D" w:rsidP="003203E6"/>
    <w:p w14:paraId="7F59CB06" w14:textId="77777777" w:rsidR="00047F7B" w:rsidRDefault="00047F7B"/>
    <w:sectPr w:rsidR="00047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D6904"/>
    <w:multiLevelType w:val="hybridMultilevel"/>
    <w:tmpl w:val="315276A2"/>
    <w:lvl w:ilvl="0" w:tplc="C6DA179C">
      <w:start w:val="1"/>
      <w:numFmt w:val="bullet"/>
      <w:lvlText w:val="●"/>
      <w:lvlJc w:val="left"/>
      <w:pPr>
        <w:ind w:left="720" w:hanging="360"/>
      </w:pPr>
    </w:lvl>
    <w:lvl w:ilvl="1" w:tplc="22DC970E">
      <w:start w:val="1"/>
      <w:numFmt w:val="bullet"/>
      <w:lvlText w:val="○"/>
      <w:lvlJc w:val="left"/>
      <w:pPr>
        <w:ind w:left="1440" w:hanging="360"/>
      </w:pPr>
    </w:lvl>
    <w:lvl w:ilvl="2" w:tplc="74AED690">
      <w:start w:val="1"/>
      <w:numFmt w:val="bullet"/>
      <w:lvlText w:val="■"/>
      <w:lvlJc w:val="left"/>
      <w:pPr>
        <w:ind w:left="2160" w:hanging="360"/>
      </w:pPr>
    </w:lvl>
    <w:lvl w:ilvl="3" w:tplc="0F0826DA">
      <w:start w:val="1"/>
      <w:numFmt w:val="bullet"/>
      <w:lvlText w:val="●"/>
      <w:lvlJc w:val="left"/>
      <w:pPr>
        <w:ind w:left="2880" w:hanging="360"/>
      </w:pPr>
    </w:lvl>
    <w:lvl w:ilvl="4" w:tplc="F698CC60">
      <w:start w:val="1"/>
      <w:numFmt w:val="bullet"/>
      <w:lvlText w:val="○"/>
      <w:lvlJc w:val="left"/>
      <w:pPr>
        <w:ind w:left="3600" w:hanging="360"/>
      </w:pPr>
    </w:lvl>
    <w:lvl w:ilvl="5" w:tplc="3C18E356">
      <w:start w:val="1"/>
      <w:numFmt w:val="bullet"/>
      <w:lvlText w:val="■"/>
      <w:lvlJc w:val="left"/>
      <w:pPr>
        <w:ind w:left="4320" w:hanging="360"/>
      </w:pPr>
    </w:lvl>
    <w:lvl w:ilvl="6" w:tplc="0E5AEC70">
      <w:start w:val="1"/>
      <w:numFmt w:val="bullet"/>
      <w:lvlText w:val="●"/>
      <w:lvlJc w:val="left"/>
      <w:pPr>
        <w:ind w:left="5040" w:hanging="360"/>
      </w:pPr>
    </w:lvl>
    <w:lvl w:ilvl="7" w:tplc="3FBA2922">
      <w:start w:val="1"/>
      <w:numFmt w:val="bullet"/>
      <w:lvlText w:val="●"/>
      <w:lvlJc w:val="left"/>
      <w:pPr>
        <w:ind w:left="5760" w:hanging="360"/>
      </w:pPr>
    </w:lvl>
    <w:lvl w:ilvl="8" w:tplc="62664F74">
      <w:start w:val="1"/>
      <w:numFmt w:val="bullet"/>
      <w:lvlText w:val="●"/>
      <w:lvlJc w:val="left"/>
      <w:pPr>
        <w:ind w:left="6480" w:hanging="360"/>
      </w:pPr>
    </w:lvl>
  </w:abstractNum>
  <w:num w:numId="1" w16cid:durableId="425351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F7B"/>
    <w:rsid w:val="00047F7B"/>
    <w:rsid w:val="00080456"/>
    <w:rsid w:val="00091B37"/>
    <w:rsid w:val="000B6634"/>
    <w:rsid w:val="00107049"/>
    <w:rsid w:val="002205A4"/>
    <w:rsid w:val="002D7964"/>
    <w:rsid w:val="003203E6"/>
    <w:rsid w:val="00336079"/>
    <w:rsid w:val="00380534"/>
    <w:rsid w:val="0075197F"/>
    <w:rsid w:val="00766D47"/>
    <w:rsid w:val="007773EB"/>
    <w:rsid w:val="0085091D"/>
    <w:rsid w:val="008E603A"/>
    <w:rsid w:val="00A40B11"/>
    <w:rsid w:val="00AF3C46"/>
    <w:rsid w:val="00C47676"/>
    <w:rsid w:val="00D42735"/>
    <w:rsid w:val="00E84434"/>
    <w:rsid w:val="00ED06EC"/>
    <w:rsid w:val="00FF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3CF3"/>
  <w15:chartTrackingRefBased/>
  <w15:docId w15:val="{F374381D-FBBF-4D2F-B30B-BDC586487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F7B"/>
    <w:rPr>
      <w:rFonts w:eastAsiaTheme="majorEastAsia" w:cstheme="majorBidi"/>
      <w:color w:val="272727" w:themeColor="text1" w:themeTint="D8"/>
    </w:rPr>
  </w:style>
  <w:style w:type="paragraph" w:styleId="Title">
    <w:name w:val="Title"/>
    <w:basedOn w:val="Normal"/>
    <w:next w:val="Normal"/>
    <w:link w:val="TitleChar"/>
    <w:uiPriority w:val="10"/>
    <w:qFormat/>
    <w:rsid w:val="00047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F7B"/>
    <w:pPr>
      <w:spacing w:before="160"/>
      <w:jc w:val="center"/>
    </w:pPr>
    <w:rPr>
      <w:i/>
      <w:iCs/>
      <w:color w:val="404040" w:themeColor="text1" w:themeTint="BF"/>
    </w:rPr>
  </w:style>
  <w:style w:type="character" w:customStyle="1" w:styleId="QuoteChar">
    <w:name w:val="Quote Char"/>
    <w:basedOn w:val="DefaultParagraphFont"/>
    <w:link w:val="Quote"/>
    <w:uiPriority w:val="29"/>
    <w:rsid w:val="00047F7B"/>
    <w:rPr>
      <w:i/>
      <w:iCs/>
      <w:color w:val="404040" w:themeColor="text1" w:themeTint="BF"/>
    </w:rPr>
  </w:style>
  <w:style w:type="paragraph" w:styleId="ListParagraph">
    <w:name w:val="List Paragraph"/>
    <w:basedOn w:val="Normal"/>
    <w:qFormat/>
    <w:rsid w:val="00047F7B"/>
    <w:pPr>
      <w:ind w:left="720"/>
      <w:contextualSpacing/>
    </w:pPr>
  </w:style>
  <w:style w:type="character" w:styleId="IntenseEmphasis">
    <w:name w:val="Intense Emphasis"/>
    <w:basedOn w:val="DefaultParagraphFont"/>
    <w:uiPriority w:val="21"/>
    <w:qFormat/>
    <w:rsid w:val="00047F7B"/>
    <w:rPr>
      <w:i/>
      <w:iCs/>
      <w:color w:val="0F4761" w:themeColor="accent1" w:themeShade="BF"/>
    </w:rPr>
  </w:style>
  <w:style w:type="paragraph" w:styleId="IntenseQuote">
    <w:name w:val="Intense Quote"/>
    <w:basedOn w:val="Normal"/>
    <w:next w:val="Normal"/>
    <w:link w:val="IntenseQuoteChar"/>
    <w:uiPriority w:val="30"/>
    <w:qFormat/>
    <w:rsid w:val="00047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F7B"/>
    <w:rPr>
      <w:i/>
      <w:iCs/>
      <w:color w:val="0F4761" w:themeColor="accent1" w:themeShade="BF"/>
    </w:rPr>
  </w:style>
  <w:style w:type="character" w:styleId="IntenseReference">
    <w:name w:val="Intense Reference"/>
    <w:basedOn w:val="DefaultParagraphFont"/>
    <w:uiPriority w:val="32"/>
    <w:qFormat/>
    <w:rsid w:val="00047F7B"/>
    <w:rPr>
      <w:b/>
      <w:bCs/>
      <w:smallCaps/>
      <w:color w:val="0F4761" w:themeColor="accent1" w:themeShade="BF"/>
      <w:spacing w:val="5"/>
    </w:rPr>
  </w:style>
  <w:style w:type="character" w:styleId="Hyperlink">
    <w:name w:val="Hyperlink"/>
    <w:basedOn w:val="DefaultParagraphFont"/>
    <w:uiPriority w:val="99"/>
    <w:unhideWhenUsed/>
    <w:rsid w:val="00047F7B"/>
    <w:rPr>
      <w:color w:val="467886" w:themeColor="hyperlink"/>
      <w:u w:val="single"/>
    </w:rPr>
  </w:style>
  <w:style w:type="character" w:styleId="UnresolvedMention">
    <w:name w:val="Unresolved Mention"/>
    <w:basedOn w:val="DefaultParagraphFont"/>
    <w:uiPriority w:val="99"/>
    <w:semiHidden/>
    <w:unhideWhenUsed/>
    <w:rsid w:val="00047F7B"/>
    <w:rPr>
      <w:color w:val="605E5C"/>
      <w:shd w:val="clear" w:color="auto" w:fill="E1DFDD"/>
    </w:rPr>
  </w:style>
  <w:style w:type="character" w:styleId="FollowedHyperlink">
    <w:name w:val="FollowedHyperlink"/>
    <w:basedOn w:val="DefaultParagraphFont"/>
    <w:uiPriority w:val="99"/>
    <w:semiHidden/>
    <w:unhideWhenUsed/>
    <w:rsid w:val="00047F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yeda-jahirin-aktari11" TargetMode="External"/><Relationship Id="rId5" Type="http://schemas.openxmlformats.org/officeDocument/2006/relationships/hyperlink" Target="mailto:syedajahirin.aktari@si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1360</Words>
  <Characters>7757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Aktari, Syeda Jahirin</dc:creator>
  <cp:keywords/>
  <dc:description/>
  <cp:lastModifiedBy>Aktari, Syeda Jahirin</cp:lastModifiedBy>
  <cp:revision>1</cp:revision>
  <dcterms:created xsi:type="dcterms:W3CDTF">2026-09-13T03:44:00Z</dcterms:created>
  <dcterms:modified xsi:type="dcterms:W3CDTF">2026-09-13T05:17:00Z</dcterms:modified>
</cp:coreProperties>
</file>