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84"/>
        <w:gridCol w:w="2952"/>
      </w:tblGrid>
      <w:tr>
        <w:tc>
          <w:tcPr>
            <w:tcW w:type="dxa" w:w="5018"/>
            <w:tcBorders>
              <w:top w:val="single" w:sz="0" w:space="0" w:color="FFFFFF"/>
              <w:left w:val="single" w:sz="0" w:space="0" w:color="FFFFFF"/>
              <w:bottom w:val="single" w:sz="0" w:space="0" w:color="FFFFFF"/>
              <w:right w:val="single" w:sz="0" w:space="0" w:color="FFFFFF"/>
            </w:tcBorders>
            <w:tcMar>
              <w:top w:w="0" w:type="dxa"/>
              <w:start w:w="0" w:type="dxa"/>
              <w:bottom w:w="20" w:type="dxa"/>
              <w:end w:w="0" w:type="dxa"/>
            </w:tcMar>
            <w:vAlign w:val="center"/>
          </w:tcPr>
          <w:p>
            <w:pPr>
              <w:spacing w:after="20"/>
              <w:jc w:val="center"/>
            </w:pPr>
            <w:r>
              <w:rPr>
                <w:rFonts w:ascii="Arial" w:hAnsi="Arial" w:eastAsia="Arial"/>
                <w:b/>
                <w:i w:val="0"/>
                <w:color w:val="111827"/>
                <w:sz w:val="32"/>
              </w:rPr>
              <w:t>Quotation</w:t>
            </w:r>
          </w:p>
        </w:tc>
        <w:tc>
          <w:tcPr>
            <w:tcW w:type="dxa" w:w="5018"/>
            <w:tcBorders>
              <w:top w:val="single" w:sz="0" w:space="0" w:color="FFFFFF"/>
              <w:left w:val="single" w:sz="0" w:space="0" w:color="FFFFFF"/>
              <w:bottom w:val="single" w:sz="0" w:space="0" w:color="FFFFFF"/>
              <w:right w:val="single" w:sz="0" w:space="0" w:color="FFFFFF"/>
            </w:tcBorders>
            <w:tcMar>
              <w:top w:w="0" w:type="dxa"/>
              <w:start w:w="0" w:type="dxa"/>
              <w:bottom w:w="20" w:type="dxa"/>
              <w:end w:w="0" w:type="dxa"/>
            </w:tcMar>
            <w:vAlign w:val="center"/>
          </w:tcPr>
          <w:p>
            <w:pPr>
              <w:jc w:val="right"/>
            </w:pPr>
            <w:r>
              <w:rPr>
                <w:rFonts w:ascii="Arial" w:hAnsi="Arial" w:eastAsia="Arial"/>
                <w:b/>
                <w:i w:val="0"/>
                <w:color w:val="111827"/>
                <w:sz w:val="20"/>
              </w:rPr>
              <w:t>Ref:</w:t>
            </w:r>
            <w:r>
              <w:rPr>
                <w:rFonts w:ascii="Arial" w:hAnsi="Arial" w:eastAsia="Arial"/>
                <w:b w:val="0"/>
                <w:i w:val="0"/>
                <w:color w:val="111827"/>
                <w:sz w:val="20"/>
              </w:rPr>
              <w:t xml:space="preserve"> {{quotationRef}}</w:t>
            </w:r>
            <w:r>
              <w:rPr>
                <w:rFonts w:ascii="Arial" w:hAnsi="Arial" w:eastAsia="Arial"/>
                <w:b/>
                <w:i w:val="0"/>
                <w:color w:val="111827"/>
                <w:sz w:val="20"/>
              </w:rPr>
              <w:br/>
              <w:t>Dt:</w:t>
            </w:r>
            <w:r>
              <w:rPr>
                <w:rFonts w:ascii="Arial" w:hAnsi="Arial" w:eastAsia="Arial"/>
                <w:b w:val="0"/>
                <w:i w:val="0"/>
                <w:color w:val="111827"/>
                <w:sz w:val="20"/>
              </w:rPr>
              <w:t xml:space="preserve"> {{quotationDate}}</w:t>
            </w:r>
          </w:p>
        </w:tc>
      </w:tr>
    </w:tbl>
    <w:p>
      <w:pPr>
        <w:spacing w:after="40" w:before="0" w:line="254" w:lineRule="auto"/>
      </w:pPr>
    </w:p>
    <w:p>
      <w:pPr>
        <w:spacing w:after="20" w:before="0" w:line="254" w:lineRule="auto"/>
      </w:pPr>
      <w:r>
        <w:rPr>
          <w:rFonts w:ascii="Arial" w:hAnsi="Arial" w:eastAsia="Arial"/>
          <w:b/>
          <w:i w:val="0"/>
          <w:color w:val="111827"/>
          <w:sz w:val="20"/>
        </w:rPr>
        <w:t>To:</w:t>
      </w:r>
    </w:p>
    <w:p>
      <w:pPr>
        <w:spacing w:after="20" w:before="0" w:line="254" w:lineRule="auto"/>
      </w:pPr>
      <w:r>
        <w:rPr>
          <w:rFonts w:ascii="Arial" w:hAnsi="Arial" w:eastAsia="Arial"/>
          <w:b/>
          <w:i w:val="0"/>
          <w:color w:val="111827"/>
          <w:sz w:val="21"/>
        </w:rPr>
        <w:t>{{customerName}}</w:t>
      </w:r>
    </w:p>
    <w:p>
      <w:pPr>
        <w:spacing w:after="80" w:before="0" w:line="254" w:lineRule="auto"/>
      </w:pPr>
      <w:r>
        <w:rPr>
          <w:rFonts w:ascii="Arial" w:hAnsi="Arial" w:eastAsia="Arial"/>
          <w:b w:val="0"/>
          <w:i w:val="0"/>
          <w:color w:val="111827"/>
          <w:sz w:val="20"/>
        </w:rPr>
        <w:t>{{billingAddress}}</w:t>
      </w:r>
    </w:p>
    <w:p>
      <w:pPr>
        <w:spacing w:after="120" w:before="0" w:line="254" w:lineRule="auto"/>
      </w:pPr>
      <w:r>
        <w:rPr>
          <w:rFonts w:ascii="Arial" w:hAnsi="Arial" w:eastAsia="Arial"/>
          <w:b/>
          <w:i w:val="0"/>
          <w:color w:val="111827"/>
          <w:sz w:val="20"/>
        </w:rPr>
        <w:t xml:space="preserve">Kind Attention : </w:t>
      </w:r>
      <w:r>
        <w:rPr>
          <w:rFonts w:ascii="Arial" w:hAnsi="Arial" w:eastAsia="Arial"/>
          <w:b w:val="0"/>
          <w:i w:val="0"/>
          <w:color w:val="111827"/>
          <w:sz w:val="20"/>
        </w:rPr>
        <w:t>{{kindAttention}}</w:t>
      </w:r>
    </w:p>
    <w:p>
      <w:pPr>
        <w:spacing w:after="140" w:before="0" w:line="254" w:lineRule="auto"/>
      </w:pPr>
      <w:r>
        <w:rPr>
          <w:rFonts w:ascii="Arial" w:hAnsi="Arial" w:eastAsia="Arial"/>
          <w:b/>
          <w:i w:val="0"/>
          <w:color w:val="111827"/>
          <w:sz w:val="20"/>
        </w:rPr>
        <w:t xml:space="preserve">Subject : </w:t>
      </w:r>
      <w:r>
        <w:rPr>
          <w:rFonts w:ascii="Arial" w:hAnsi="Arial" w:eastAsia="Arial"/>
          <w:b/>
          <w:i w:val="0"/>
          <w:color w:val="111827"/>
          <w:sz w:val="20"/>
        </w:rPr>
        <w:t>Quotation for Supply of Ready Mixed Concrete</w:t>
      </w:r>
    </w:p>
    <w:p>
      <w:pPr>
        <w:spacing w:after="100" w:before="0" w:line="254" w:lineRule="auto"/>
      </w:pPr>
      <w:r>
        <w:rPr>
          <w:rFonts w:ascii="Arial" w:hAnsi="Arial" w:eastAsia="Arial"/>
          <w:b w:val="0"/>
          <w:i w:val="0"/>
          <w:color w:val="111827"/>
          <w:sz w:val="20"/>
        </w:rPr>
        <w:t>Dear Sir/Madam,</w:t>
      </w:r>
    </w:p>
    <w:p>
      <w:pPr>
        <w:spacing w:after="140" w:before="0" w:line="254" w:lineRule="auto"/>
      </w:pPr>
      <w:r>
        <w:rPr>
          <w:rFonts w:ascii="Arial" w:hAnsi="Arial" w:eastAsia="Arial"/>
          <w:b w:val="0"/>
          <w:i w:val="0"/>
          <w:color w:val="111827"/>
          <w:sz w:val="20"/>
        </w:rPr>
        <w:t>We are pleased to submit our quotation for the supply of Ready Mixed Concrete (RMC) for your esteemed Project at {{siteName}}, {{siteAddress}}. In response to your inquiry the following terms and conditions outline the details of the offer:</w:t>
      </w:r>
    </w:p>
    <w:p>
      <w:pPr>
        <w:spacing w:after="80" w:before="160" w:line="254" w:lineRule="auto"/>
      </w:pPr>
      <w:r>
        <w:rPr>
          <w:rFonts w:ascii="Arial" w:hAnsi="Arial" w:eastAsia="Arial"/>
          <w:b/>
          <w:i w:val="0"/>
          <w:color w:val="1F4E79"/>
          <w:sz w:val="22"/>
        </w:rPr>
        <w:t>Terms and Conditions:</w:t>
      </w:r>
    </w:p>
    <w:p>
      <w:pPr>
        <w:spacing w:after="60" w:before="0" w:line="245" w:lineRule="auto"/>
      </w:pPr>
      <w:r>
        <w:rPr>
          <w:rFonts w:ascii="Arial" w:hAnsi="Arial" w:eastAsia="Arial"/>
          <w:b w:val="0"/>
          <w:i w:val="0"/>
          <w:color w:val="111827"/>
          <w:sz w:val="19"/>
        </w:rPr>
        <w:t>1. Minimum Order Requirements: Pumping: Minimum order of 25 cum. Dumping: Minimum order of 7 cum.</w:t>
      </w:r>
    </w:p>
    <w:p>
      <w:pPr>
        <w:spacing w:after="60" w:before="0" w:line="245" w:lineRule="auto"/>
      </w:pPr>
      <w:r>
        <w:rPr>
          <w:rFonts w:ascii="Arial" w:hAnsi="Arial" w:eastAsia="Arial"/>
          <w:b w:val="0"/>
          <w:i w:val="0"/>
          <w:color w:val="111827"/>
          <w:sz w:val="19"/>
        </w:rPr>
        <w:t>2. GST: An 18% GST included in the given price.</w:t>
      </w:r>
    </w:p>
    <w:p>
      <w:pPr>
        <w:spacing w:after="60" w:before="0" w:line="245" w:lineRule="auto"/>
      </w:pPr>
      <w:r>
        <w:rPr>
          <w:rFonts w:ascii="Arial" w:hAnsi="Arial" w:eastAsia="Arial"/>
          <w:b w:val="0"/>
          <w:i w:val="0"/>
          <w:color w:val="111827"/>
          <w:sz w:val="19"/>
        </w:rPr>
        <w:t>3. Pump Charges: Rs. 8000/- will be extra below 30 cum per day.</w:t>
      </w:r>
    </w:p>
    <w:p>
      <w:pPr>
        <w:spacing w:after="60" w:before="0" w:line="245" w:lineRule="auto"/>
      </w:pPr>
      <w:r>
        <w:rPr>
          <w:rFonts w:ascii="Arial" w:hAnsi="Arial" w:eastAsia="Arial"/>
          <w:b w:val="0"/>
          <w:i w:val="0"/>
          <w:color w:val="111827"/>
          <w:sz w:val="19"/>
        </w:rPr>
        <w:t>4. Payment Terms - {{paymentTerms}}.</w:t>
      </w:r>
    </w:p>
    <w:p>
      <w:pPr>
        <w:spacing w:after="60" w:before="0" w:line="245" w:lineRule="auto"/>
      </w:pPr>
      <w:r>
        <w:rPr>
          <w:rFonts w:ascii="Arial" w:hAnsi="Arial" w:eastAsia="Arial"/>
          <w:b w:val="0"/>
          <w:i w:val="0"/>
          <w:color w:val="111827"/>
          <w:sz w:val="19"/>
        </w:rPr>
        <w:t>5. Price Adjustments: The quoted rates are based on your specified mix. Any changes to the mix design will result in revised rates. Cooling of concrete, placing, vibration, and curing of concrete are not included in the quotation.</w:t>
      </w:r>
    </w:p>
    <w:p>
      <w:pPr>
        <w:spacing w:after="60" w:before="0" w:line="245" w:lineRule="auto"/>
      </w:pPr>
      <w:r>
        <w:rPr>
          <w:rFonts w:ascii="Arial" w:hAnsi="Arial" w:eastAsia="Arial"/>
          <w:b w:val="0"/>
          <w:i w:val="0"/>
          <w:color w:val="111827"/>
          <w:sz w:val="19"/>
        </w:rPr>
        <w:t>6. Purchase Orders: All orders should be issued in the name of "SPD Concrete Pvt Ltd", Mouza - Jagannath Prasad, Po - Andharua, P.S. - Chandaka, Bhubaneswar, Odisha - 751003.</w:t>
      </w:r>
    </w:p>
    <w:tbl>
      <w:tblPr>
        <w:tblW w:type="auto" w:w="0"/>
        <w:jc w:val="center"/>
        <w:tblLayout w:type="fixed"/>
        <w:tblLook w:firstColumn="1" w:firstRow="1" w:lastColumn="0" w:lastRow="0" w:noHBand="0" w:noVBand="1" w:val="04A0"/>
      </w:tblPr>
      <w:tblGrid>
        <w:gridCol w:w="1728"/>
        <w:gridCol w:w="792"/>
        <w:gridCol w:w="1296"/>
        <w:gridCol w:w="1944"/>
        <w:gridCol w:w="1368"/>
        <w:gridCol w:w="2304"/>
      </w:tblGrid>
      <w:tr>
        <w:trPr>
          <w:tblHeader w:val="true"/>
        </w:trPr>
        <w:tc>
          <w:tcPr>
            <w:tcW w:type="dxa" w:w="1673"/>
            <w:shd w:fill="1F4E79"/>
            <w:tcBorders>
              <w:top w:val="single" w:sz="6" w:space="0" w:color="C9D2DF"/>
              <w:left w:val="single" w:sz="6" w:space="0" w:color="C9D2DF"/>
              <w:bottom w:val="single" w:sz="6" w:space="0" w:color="C9D2DF"/>
              <w:right w:val="single" w:sz="6" w:space="0" w:color="C9D2DF"/>
            </w:tcBorders>
            <w:tcMar>
              <w:top w:w="120" w:type="dxa"/>
              <w:start w:w="90" w:type="dxa"/>
              <w:bottom w:w="120" w:type="dxa"/>
              <w:end w:w="90" w:type="dxa"/>
            </w:tcMar>
            <w:vAlign w:val="center"/>
          </w:tcPr>
          <w:p>
            <w:pPr>
              <w:jc w:val="center"/>
            </w:pPr>
            <w:r>
              <w:rPr>
                <w:rFonts w:ascii="Arial" w:hAnsi="Arial" w:eastAsia="Arial"/>
                <w:b/>
                <w:i w:val="0"/>
                <w:color w:val="FFFFFF"/>
                <w:sz w:val="17"/>
              </w:rPr>
              <w:t>Concrete Grade</w:t>
            </w:r>
          </w:p>
        </w:tc>
        <w:tc>
          <w:tcPr>
            <w:tcW w:type="dxa" w:w="1673"/>
            <w:shd w:fill="1F4E79"/>
            <w:tcBorders>
              <w:top w:val="single" w:sz="6" w:space="0" w:color="C9D2DF"/>
              <w:left w:val="single" w:sz="6" w:space="0" w:color="C9D2DF"/>
              <w:bottom w:val="single" w:sz="6" w:space="0" w:color="C9D2DF"/>
              <w:right w:val="single" w:sz="6" w:space="0" w:color="C9D2DF"/>
            </w:tcBorders>
            <w:tcMar>
              <w:top w:w="120" w:type="dxa"/>
              <w:start w:w="90" w:type="dxa"/>
              <w:bottom w:w="120" w:type="dxa"/>
              <w:end w:w="90" w:type="dxa"/>
            </w:tcMar>
            <w:vAlign w:val="center"/>
          </w:tcPr>
          <w:p>
            <w:pPr>
              <w:jc w:val="center"/>
            </w:pPr>
            <w:r>
              <w:rPr>
                <w:rFonts w:ascii="Arial" w:hAnsi="Arial" w:eastAsia="Arial"/>
                <w:b/>
                <w:i w:val="0"/>
                <w:color w:val="FFFFFF"/>
                <w:sz w:val="17"/>
              </w:rPr>
              <w:t>CUM</w:t>
            </w:r>
          </w:p>
        </w:tc>
        <w:tc>
          <w:tcPr>
            <w:tcW w:type="dxa" w:w="1673"/>
            <w:shd w:fill="1F4E79"/>
            <w:tcBorders>
              <w:top w:val="single" w:sz="6" w:space="0" w:color="C9D2DF"/>
              <w:left w:val="single" w:sz="6" w:space="0" w:color="C9D2DF"/>
              <w:bottom w:val="single" w:sz="6" w:space="0" w:color="C9D2DF"/>
              <w:right w:val="single" w:sz="6" w:space="0" w:color="C9D2DF"/>
            </w:tcBorders>
            <w:tcMar>
              <w:top w:w="120" w:type="dxa"/>
              <w:start w:w="90" w:type="dxa"/>
              <w:bottom w:w="120" w:type="dxa"/>
              <w:end w:w="90" w:type="dxa"/>
            </w:tcMar>
            <w:vAlign w:val="center"/>
          </w:tcPr>
          <w:p>
            <w:pPr>
              <w:jc w:val="center"/>
            </w:pPr>
            <w:r>
              <w:rPr>
                <w:rFonts w:ascii="Arial" w:hAnsi="Arial" w:eastAsia="Arial"/>
                <w:b/>
                <w:i w:val="0"/>
                <w:color w:val="FFFFFF"/>
                <w:sz w:val="17"/>
              </w:rPr>
              <w:t>Qty</w:t>
            </w:r>
          </w:p>
        </w:tc>
        <w:tc>
          <w:tcPr>
            <w:tcW w:type="dxa" w:w="1673"/>
            <w:shd w:fill="1F4E79"/>
            <w:tcBorders>
              <w:top w:val="single" w:sz="6" w:space="0" w:color="C9D2DF"/>
              <w:left w:val="single" w:sz="6" w:space="0" w:color="C9D2DF"/>
              <w:bottom w:val="single" w:sz="6" w:space="0" w:color="C9D2DF"/>
              <w:right w:val="single" w:sz="6" w:space="0" w:color="C9D2DF"/>
            </w:tcBorders>
            <w:tcMar>
              <w:top w:w="120" w:type="dxa"/>
              <w:start w:w="90" w:type="dxa"/>
              <w:bottom w:w="120" w:type="dxa"/>
              <w:end w:w="90" w:type="dxa"/>
            </w:tcMar>
            <w:vAlign w:val="center"/>
          </w:tcPr>
          <w:p>
            <w:pPr>
              <w:jc w:val="center"/>
            </w:pPr>
            <w:r>
              <w:rPr>
                <w:rFonts w:ascii="Arial" w:hAnsi="Arial" w:eastAsia="Arial"/>
                <w:b/>
                <w:i w:val="0"/>
                <w:color w:val="FFFFFF"/>
                <w:sz w:val="17"/>
              </w:rPr>
              <w:t>Basic Rate (per Cum)</w:t>
            </w:r>
          </w:p>
        </w:tc>
        <w:tc>
          <w:tcPr>
            <w:tcW w:type="dxa" w:w="1673"/>
            <w:shd w:fill="1F4E79"/>
            <w:tcBorders>
              <w:top w:val="single" w:sz="6" w:space="0" w:color="C9D2DF"/>
              <w:left w:val="single" w:sz="6" w:space="0" w:color="C9D2DF"/>
              <w:bottom w:val="single" w:sz="6" w:space="0" w:color="C9D2DF"/>
              <w:right w:val="single" w:sz="6" w:space="0" w:color="C9D2DF"/>
            </w:tcBorders>
            <w:tcMar>
              <w:top w:w="120" w:type="dxa"/>
              <w:start w:w="90" w:type="dxa"/>
              <w:bottom w:w="120" w:type="dxa"/>
              <w:end w:w="90" w:type="dxa"/>
            </w:tcMar>
            <w:vAlign w:val="center"/>
          </w:tcPr>
          <w:p>
            <w:pPr>
              <w:jc w:val="center"/>
            </w:pPr>
            <w:r>
              <w:rPr>
                <w:rFonts w:ascii="Arial" w:hAnsi="Arial" w:eastAsia="Arial"/>
                <w:b/>
                <w:i w:val="0"/>
                <w:color w:val="FFFFFF"/>
                <w:sz w:val="17"/>
              </w:rPr>
              <w:t>GST%</w:t>
            </w:r>
          </w:p>
        </w:tc>
        <w:tc>
          <w:tcPr>
            <w:tcW w:type="dxa" w:w="1673"/>
            <w:shd w:fill="1F4E79"/>
            <w:tcBorders>
              <w:top w:val="single" w:sz="6" w:space="0" w:color="C9D2DF"/>
              <w:left w:val="single" w:sz="6" w:space="0" w:color="C9D2DF"/>
              <w:bottom w:val="single" w:sz="6" w:space="0" w:color="C9D2DF"/>
              <w:right w:val="single" w:sz="6" w:space="0" w:color="C9D2DF"/>
            </w:tcBorders>
            <w:tcMar>
              <w:top w:w="120" w:type="dxa"/>
              <w:start w:w="90" w:type="dxa"/>
              <w:bottom w:w="120" w:type="dxa"/>
              <w:end w:w="90" w:type="dxa"/>
            </w:tcMar>
            <w:vAlign w:val="center"/>
          </w:tcPr>
          <w:p>
            <w:pPr>
              <w:jc w:val="center"/>
            </w:pPr>
            <w:r>
              <w:rPr>
                <w:rFonts w:ascii="Arial" w:hAnsi="Arial" w:eastAsia="Arial"/>
                <w:b/>
                <w:i w:val="0"/>
                <w:color w:val="FFFFFF"/>
                <w:sz w:val="17"/>
              </w:rPr>
              <w:t>Including GST (Rs.)</w:t>
            </w:r>
          </w:p>
        </w:tc>
      </w:tr>
      <w:tr>
        <w:tc>
          <w:tcPr>
            <w:tcW w:type="dxa" w:w="1673"/>
            <w:tcBorders>
              <w:top w:val="single" w:sz="6" w:space="0" w:color="C9D2DF"/>
              <w:left w:val="single" w:sz="6" w:space="0" w:color="C9D2DF"/>
              <w:bottom w:val="single" w:sz="6" w:space="0" w:color="C9D2DF"/>
              <w:right w:val="single" w:sz="6" w:space="0" w:color="C9D2DF"/>
            </w:tcBorders>
            <w:tcMar>
              <w:top w:w="130" w:type="dxa"/>
              <w:start w:w="90" w:type="dxa"/>
              <w:bottom w:w="130" w:type="dxa"/>
              <w:end w:w="90" w:type="dxa"/>
            </w:tcMar>
            <w:vAlign w:val="center"/>
          </w:tcPr>
          <w:p>
            <w:pPr>
              <w:jc w:val="center"/>
            </w:pPr>
            <w:r>
              <w:rPr>
                <w:rFonts w:ascii="Arial" w:hAnsi="Arial" w:eastAsia="Arial"/>
                <w:b w:val="0"/>
                <w:i w:val="0"/>
                <w:color w:val="111827"/>
                <w:sz w:val="15"/>
              </w:rPr>
              <w:t>{{#items}}</w:t>
              <w:br/>
              <w:t>{{grade}}</w:t>
            </w:r>
          </w:p>
        </w:tc>
        <w:tc>
          <w:tcPr>
            <w:tcW w:type="dxa" w:w="1673"/>
            <w:tcBorders>
              <w:top w:val="single" w:sz="6" w:space="0" w:color="C9D2DF"/>
              <w:left w:val="single" w:sz="6" w:space="0" w:color="C9D2DF"/>
              <w:bottom w:val="single" w:sz="6" w:space="0" w:color="C9D2DF"/>
              <w:right w:val="single" w:sz="6" w:space="0" w:color="C9D2DF"/>
            </w:tcBorders>
            <w:tcMar>
              <w:top w:w="130" w:type="dxa"/>
              <w:start w:w="90" w:type="dxa"/>
              <w:bottom w:w="130" w:type="dxa"/>
              <w:end w:w="90" w:type="dxa"/>
            </w:tcMar>
            <w:vAlign w:val="center"/>
          </w:tcPr>
          <w:p>
            <w:pPr>
              <w:jc w:val="center"/>
            </w:pPr>
            <w:r>
              <w:rPr>
                <w:rFonts w:ascii="Arial" w:hAnsi="Arial" w:eastAsia="Arial"/>
                <w:b w:val="0"/>
                <w:i w:val="0"/>
                <w:color w:val="111827"/>
                <w:sz w:val="15"/>
              </w:rPr>
              <w:t>{{unit}}</w:t>
            </w:r>
          </w:p>
        </w:tc>
        <w:tc>
          <w:tcPr>
            <w:tcW w:type="dxa" w:w="1673"/>
            <w:tcBorders>
              <w:top w:val="single" w:sz="6" w:space="0" w:color="C9D2DF"/>
              <w:left w:val="single" w:sz="6" w:space="0" w:color="C9D2DF"/>
              <w:bottom w:val="single" w:sz="6" w:space="0" w:color="C9D2DF"/>
              <w:right w:val="single" w:sz="6" w:space="0" w:color="C9D2DF"/>
            </w:tcBorders>
            <w:tcMar>
              <w:top w:w="130" w:type="dxa"/>
              <w:start w:w="90" w:type="dxa"/>
              <w:bottom w:w="130" w:type="dxa"/>
              <w:end w:w="90" w:type="dxa"/>
            </w:tcMar>
            <w:vAlign w:val="center"/>
          </w:tcPr>
          <w:p>
            <w:pPr>
              <w:jc w:val="center"/>
            </w:pPr>
            <w:r>
              <w:rPr>
                <w:rFonts w:ascii="Arial" w:hAnsi="Arial" w:eastAsia="Arial"/>
                <w:b w:val="0"/>
                <w:i w:val="0"/>
                <w:color w:val="111827"/>
                <w:sz w:val="15"/>
              </w:rPr>
              <w:t>{{quantity}}</w:t>
            </w:r>
          </w:p>
        </w:tc>
        <w:tc>
          <w:tcPr>
            <w:tcW w:type="dxa" w:w="1673"/>
            <w:tcBorders>
              <w:top w:val="single" w:sz="6" w:space="0" w:color="C9D2DF"/>
              <w:left w:val="single" w:sz="6" w:space="0" w:color="C9D2DF"/>
              <w:bottom w:val="single" w:sz="6" w:space="0" w:color="C9D2DF"/>
              <w:right w:val="single" w:sz="6" w:space="0" w:color="C9D2DF"/>
            </w:tcBorders>
            <w:tcMar>
              <w:top w:w="130" w:type="dxa"/>
              <w:start w:w="90" w:type="dxa"/>
              <w:bottom w:w="130" w:type="dxa"/>
              <w:end w:w="90" w:type="dxa"/>
            </w:tcMar>
            <w:vAlign w:val="center"/>
          </w:tcPr>
          <w:p>
            <w:pPr>
              <w:jc w:val="center"/>
            </w:pPr>
            <w:r>
              <w:rPr>
                <w:rFonts w:ascii="Arial" w:hAnsi="Arial" w:eastAsia="Arial"/>
                <w:b w:val="0"/>
                <w:i w:val="0"/>
                <w:color w:val="111827"/>
                <w:sz w:val="15"/>
              </w:rPr>
              <w:t>{{basicRate}} /-</w:t>
            </w:r>
          </w:p>
        </w:tc>
        <w:tc>
          <w:tcPr>
            <w:tcW w:type="dxa" w:w="1673"/>
            <w:tcBorders>
              <w:top w:val="single" w:sz="6" w:space="0" w:color="C9D2DF"/>
              <w:left w:val="single" w:sz="6" w:space="0" w:color="C9D2DF"/>
              <w:bottom w:val="single" w:sz="6" w:space="0" w:color="C9D2DF"/>
              <w:right w:val="single" w:sz="6" w:space="0" w:color="C9D2DF"/>
            </w:tcBorders>
            <w:tcMar>
              <w:top w:w="130" w:type="dxa"/>
              <w:start w:w="90" w:type="dxa"/>
              <w:bottom w:w="130" w:type="dxa"/>
              <w:end w:w="90" w:type="dxa"/>
            </w:tcMar>
            <w:vAlign w:val="center"/>
          </w:tcPr>
          <w:p>
            <w:pPr>
              <w:jc w:val="center"/>
            </w:pPr>
            <w:r>
              <w:rPr>
                <w:rFonts w:ascii="Arial" w:hAnsi="Arial" w:eastAsia="Arial"/>
                <w:b w:val="0"/>
                <w:i w:val="0"/>
                <w:color w:val="111827"/>
                <w:sz w:val="15"/>
              </w:rPr>
              <w:t>{{gstPercent}}</w:t>
            </w:r>
          </w:p>
        </w:tc>
        <w:tc>
          <w:tcPr>
            <w:tcW w:type="dxa" w:w="1673"/>
            <w:tcBorders>
              <w:top w:val="single" w:sz="6" w:space="0" w:color="C9D2DF"/>
              <w:left w:val="single" w:sz="6" w:space="0" w:color="C9D2DF"/>
              <w:bottom w:val="single" w:sz="6" w:space="0" w:color="C9D2DF"/>
              <w:right w:val="single" w:sz="6" w:space="0" w:color="C9D2DF"/>
            </w:tcBorders>
            <w:tcMar>
              <w:top w:w="130" w:type="dxa"/>
              <w:start w:w="90" w:type="dxa"/>
              <w:bottom w:w="130" w:type="dxa"/>
              <w:end w:w="90" w:type="dxa"/>
            </w:tcMar>
            <w:vAlign w:val="center"/>
          </w:tcPr>
          <w:p>
            <w:pPr>
              <w:jc w:val="center"/>
            </w:pPr>
            <w:r>
              <w:rPr>
                <w:rFonts w:ascii="Arial" w:hAnsi="Arial" w:eastAsia="Arial"/>
                <w:b w:val="0"/>
                <w:i w:val="0"/>
                <w:color w:val="111827"/>
                <w:sz w:val="15"/>
              </w:rPr>
              <w:t>{{includingGstRate}} /-</w:t>
              <w:br/>
              <w:t>{{/items}}</w:t>
            </w:r>
          </w:p>
        </w:tc>
      </w:tr>
    </w:tbl>
    <w:p>
      <w:pPr>
        <w:spacing w:after="40" w:before="0" w:line="254" w:lineRule="auto"/>
      </w:pPr>
    </w:p>
    <w:p>
      <w:r>
        <w:br w:type="page"/>
      </w:r>
    </w:p>
    <w:p>
      <w:pPr>
        <w:spacing w:after="140" w:before="0" w:line="254" w:lineRule="auto"/>
      </w:pPr>
      <w:r>
        <w:rPr>
          <w:rFonts w:ascii="Arial" w:hAnsi="Arial" w:eastAsia="Arial"/>
          <w:b w:val="0"/>
          <w:i w:val="0"/>
          <w:color w:val="111827"/>
          <w:sz w:val="20"/>
        </w:rPr>
        <w:t>7. Tax Invoices: Invoices will be raised based on the delivery challan quantity. Any discrepancies should be reported within 24 hours for immediate investigation.</w:t>
      </w:r>
    </w:p>
    <w:p>
      <w:pPr>
        <w:spacing w:after="80" w:before="160" w:line="254" w:lineRule="auto"/>
      </w:pPr>
      <w:r>
        <w:rPr>
          <w:rFonts w:ascii="Arial" w:hAnsi="Arial" w:eastAsia="Arial"/>
          <w:b/>
          <w:i w:val="0"/>
          <w:color w:val="1F4E79"/>
          <w:sz w:val="22"/>
        </w:rPr>
        <w:t>Validity of Offer</w:t>
      </w:r>
    </w:p>
    <w:p>
      <w:pPr>
        <w:spacing w:after="140" w:before="0" w:line="254" w:lineRule="auto"/>
      </w:pPr>
      <w:r>
        <w:rPr>
          <w:rFonts w:ascii="Arial" w:hAnsi="Arial" w:eastAsia="Arial"/>
          <w:b w:val="0"/>
          <w:i w:val="0"/>
          <w:color w:val="111827"/>
          <w:sz w:val="20"/>
        </w:rPr>
        <w:t>This quotation is valid for a period of {{validityDays}} days from the date of issue. Acceptance of the order beyond this period may lead to price revisions based on prevailing market conditions.</w:t>
      </w:r>
    </w:p>
    <w:p>
      <w:pPr>
        <w:spacing w:after="80" w:before="160" w:line="254" w:lineRule="auto"/>
      </w:pPr>
      <w:r>
        <w:rPr>
          <w:rFonts w:ascii="Arial" w:hAnsi="Arial" w:eastAsia="Arial"/>
          <w:b/>
          <w:i w:val="0"/>
          <w:color w:val="1F4E79"/>
          <w:sz w:val="22"/>
        </w:rPr>
        <w:t>Price Escalation Clause</w:t>
      </w:r>
    </w:p>
    <w:p>
      <w:pPr>
        <w:spacing w:after="100" w:before="0" w:line="254" w:lineRule="auto"/>
      </w:pPr>
      <w:r>
        <w:rPr>
          <w:rFonts w:ascii="Arial" w:hAnsi="Arial" w:eastAsia="Arial"/>
          <w:b w:val="0"/>
          <w:i w:val="0"/>
          <w:color w:val="111827"/>
          <w:sz w:val="20"/>
        </w:rPr>
        <w:t>The quoted rates are based on current raw material and diesel prices. Any increase in the cost of raw materials, statutory levies, or any new duties imposed by the government will result in a proportional increase in the rates. Raw material base rates are as follows:</w:t>
      </w:r>
    </w:p>
    <w:tbl>
      <w:tblPr>
        <w:tblW w:type="auto" w:w="0"/>
        <w:jc w:val="center"/>
        <w:tblLook w:firstColumn="1" w:firstRow="1" w:lastColumn="0" w:lastRow="0" w:noHBand="0" w:noVBand="1" w:val="04A0"/>
      </w:tblPr>
      <w:tblGrid>
        <w:gridCol w:w="2509"/>
        <w:gridCol w:w="2509"/>
        <w:gridCol w:w="2509"/>
        <w:gridCol w:w="2509"/>
      </w:tblGrid>
      <w:tr>
        <w:tc>
          <w:tcPr>
            <w:tcW w:type="dxa" w:w="2509"/>
            <w:tcBorders>
              <w:top w:val="single" w:sz="6" w:space="0" w:color="C9D2DF"/>
              <w:left w:val="single" w:sz="6" w:space="0" w:color="C9D2DF"/>
              <w:bottom w:val="single" w:sz="6" w:space="0" w:color="C9D2DF"/>
              <w:right w:val="single" w:sz="6" w:space="0" w:color="C9D2DF"/>
            </w:tcBorders>
            <w:tcMar>
              <w:top w:w="100" w:type="dxa"/>
              <w:start w:w="90" w:type="dxa"/>
              <w:bottom w:w="100" w:type="dxa"/>
              <w:end w:w="90" w:type="dxa"/>
            </w:tcMar>
            <w:shd w:fill="F8FAFC"/>
          </w:tcPr>
          <w:p>
            <w:pPr>
              <w:jc w:val="center"/>
            </w:pPr>
            <w:r>
              <w:rPr>
                <w:rFonts w:ascii="Arial" w:hAnsi="Arial" w:eastAsia="Arial"/>
                <w:b/>
                <w:i w:val="0"/>
                <w:color w:val="111827"/>
                <w:sz w:val="17"/>
              </w:rPr>
              <w:t>Cement</w:t>
            </w:r>
          </w:p>
        </w:tc>
        <w:tc>
          <w:tcPr>
            <w:tcW w:type="dxa" w:w="2509"/>
            <w:tcBorders>
              <w:top w:val="single" w:sz="6" w:space="0" w:color="C9D2DF"/>
              <w:left w:val="single" w:sz="6" w:space="0" w:color="C9D2DF"/>
              <w:bottom w:val="single" w:sz="6" w:space="0" w:color="C9D2DF"/>
              <w:right w:val="single" w:sz="6" w:space="0" w:color="C9D2DF"/>
            </w:tcBorders>
            <w:tcMar>
              <w:top w:w="100" w:type="dxa"/>
              <w:start w:w="90" w:type="dxa"/>
              <w:bottom w:w="100" w:type="dxa"/>
              <w:end w:w="90" w:type="dxa"/>
            </w:tcMar>
            <w:shd w:fill="F8FAFC"/>
          </w:tcPr>
          <w:p>
            <w:pPr>
              <w:jc w:val="center"/>
            </w:pPr>
            <w:r>
              <w:rPr>
                <w:rFonts w:ascii="Arial" w:hAnsi="Arial" w:eastAsia="Arial"/>
                <w:b/>
                <w:i w:val="0"/>
                <w:color w:val="111827"/>
                <w:sz w:val="17"/>
              </w:rPr>
              <w:t>Sand</w:t>
            </w:r>
          </w:p>
        </w:tc>
        <w:tc>
          <w:tcPr>
            <w:tcW w:type="dxa" w:w="2509"/>
            <w:tcBorders>
              <w:top w:val="single" w:sz="6" w:space="0" w:color="C9D2DF"/>
              <w:left w:val="single" w:sz="6" w:space="0" w:color="C9D2DF"/>
              <w:bottom w:val="single" w:sz="6" w:space="0" w:color="C9D2DF"/>
              <w:right w:val="single" w:sz="6" w:space="0" w:color="C9D2DF"/>
            </w:tcBorders>
            <w:tcMar>
              <w:top w:w="100" w:type="dxa"/>
              <w:start w:w="90" w:type="dxa"/>
              <w:bottom w:w="100" w:type="dxa"/>
              <w:end w:w="90" w:type="dxa"/>
            </w:tcMar>
            <w:shd w:fill="F8FAFC"/>
          </w:tcPr>
          <w:p>
            <w:pPr>
              <w:jc w:val="center"/>
            </w:pPr>
            <w:r>
              <w:rPr>
                <w:rFonts w:ascii="Arial" w:hAnsi="Arial" w:eastAsia="Arial"/>
                <w:b/>
                <w:i w:val="0"/>
                <w:color w:val="111827"/>
                <w:sz w:val="17"/>
              </w:rPr>
              <w:t>10MM</w:t>
            </w:r>
          </w:p>
        </w:tc>
        <w:tc>
          <w:tcPr>
            <w:tcW w:type="dxa" w:w="2509"/>
            <w:tcBorders>
              <w:top w:val="single" w:sz="6" w:space="0" w:color="C9D2DF"/>
              <w:left w:val="single" w:sz="6" w:space="0" w:color="C9D2DF"/>
              <w:bottom w:val="single" w:sz="6" w:space="0" w:color="C9D2DF"/>
              <w:right w:val="single" w:sz="6" w:space="0" w:color="C9D2DF"/>
            </w:tcBorders>
            <w:tcMar>
              <w:top w:w="100" w:type="dxa"/>
              <w:start w:w="90" w:type="dxa"/>
              <w:bottom w:w="100" w:type="dxa"/>
              <w:end w:w="90" w:type="dxa"/>
            </w:tcMar>
            <w:shd w:fill="F8FAFC"/>
          </w:tcPr>
          <w:p>
            <w:pPr>
              <w:jc w:val="center"/>
            </w:pPr>
            <w:r>
              <w:rPr>
                <w:rFonts w:ascii="Arial" w:hAnsi="Arial" w:eastAsia="Arial"/>
                <w:b/>
                <w:i w:val="0"/>
                <w:color w:val="111827"/>
                <w:sz w:val="17"/>
              </w:rPr>
              <w:t>20MM</w:t>
            </w:r>
          </w:p>
        </w:tc>
      </w:tr>
      <w:tr>
        <w:tc>
          <w:tcPr>
            <w:tcW w:type="dxa" w:w="2509"/>
            <w:tcBorders>
              <w:top w:val="single" w:sz="6" w:space="0" w:color="C9D2DF"/>
              <w:left w:val="single" w:sz="6" w:space="0" w:color="C9D2DF"/>
              <w:bottom w:val="single" w:sz="6" w:space="0" w:color="C9D2DF"/>
              <w:right w:val="single" w:sz="6" w:space="0" w:color="C9D2DF"/>
            </w:tcBorders>
            <w:tcMar>
              <w:top w:w="100" w:type="dxa"/>
              <w:start w:w="90" w:type="dxa"/>
              <w:bottom w:w="100" w:type="dxa"/>
              <w:end w:w="90" w:type="dxa"/>
            </w:tcMar>
          </w:tcPr>
          <w:p>
            <w:pPr>
              <w:jc w:val="center"/>
            </w:pPr>
            <w:r>
              <w:rPr>
                <w:rFonts w:ascii="Arial" w:hAnsi="Arial" w:eastAsia="Arial"/>
                <w:b w:val="0"/>
                <w:i w:val="0"/>
                <w:color w:val="111827"/>
                <w:sz w:val="16"/>
              </w:rPr>
              <w:t>{{cementBaseRate}} per bag</w:t>
            </w:r>
          </w:p>
        </w:tc>
        <w:tc>
          <w:tcPr>
            <w:tcW w:type="dxa" w:w="2509"/>
            <w:tcBorders>
              <w:top w:val="single" w:sz="6" w:space="0" w:color="C9D2DF"/>
              <w:left w:val="single" w:sz="6" w:space="0" w:color="C9D2DF"/>
              <w:bottom w:val="single" w:sz="6" w:space="0" w:color="C9D2DF"/>
              <w:right w:val="single" w:sz="6" w:space="0" w:color="C9D2DF"/>
            </w:tcBorders>
            <w:tcMar>
              <w:top w:w="100" w:type="dxa"/>
              <w:start w:w="90" w:type="dxa"/>
              <w:bottom w:w="100" w:type="dxa"/>
              <w:end w:w="90" w:type="dxa"/>
            </w:tcMar>
          </w:tcPr>
          <w:p>
            <w:pPr>
              <w:jc w:val="center"/>
            </w:pPr>
            <w:r>
              <w:rPr>
                <w:rFonts w:ascii="Arial" w:hAnsi="Arial" w:eastAsia="Arial"/>
                <w:b w:val="0"/>
                <w:i w:val="0"/>
                <w:color w:val="111827"/>
                <w:sz w:val="16"/>
              </w:rPr>
              <w:t>{{sandBaseRate}} per ton</w:t>
            </w:r>
          </w:p>
        </w:tc>
        <w:tc>
          <w:tcPr>
            <w:tcW w:type="dxa" w:w="2509"/>
            <w:tcBorders>
              <w:top w:val="single" w:sz="6" w:space="0" w:color="C9D2DF"/>
              <w:left w:val="single" w:sz="6" w:space="0" w:color="C9D2DF"/>
              <w:bottom w:val="single" w:sz="6" w:space="0" w:color="C9D2DF"/>
              <w:right w:val="single" w:sz="6" w:space="0" w:color="C9D2DF"/>
            </w:tcBorders>
            <w:tcMar>
              <w:top w:w="100" w:type="dxa"/>
              <w:start w:w="90" w:type="dxa"/>
              <w:bottom w:w="100" w:type="dxa"/>
              <w:end w:w="90" w:type="dxa"/>
            </w:tcMar>
          </w:tcPr>
          <w:p>
            <w:pPr>
              <w:jc w:val="center"/>
            </w:pPr>
            <w:r>
              <w:rPr>
                <w:rFonts w:ascii="Arial" w:hAnsi="Arial" w:eastAsia="Arial"/>
                <w:b w:val="0"/>
                <w:i w:val="0"/>
                <w:color w:val="111827"/>
                <w:sz w:val="16"/>
              </w:rPr>
              <w:t>{{aggregate10mmBaseRate}} per ton</w:t>
            </w:r>
          </w:p>
        </w:tc>
        <w:tc>
          <w:tcPr>
            <w:tcW w:type="dxa" w:w="2509"/>
            <w:tcBorders>
              <w:top w:val="single" w:sz="6" w:space="0" w:color="C9D2DF"/>
              <w:left w:val="single" w:sz="6" w:space="0" w:color="C9D2DF"/>
              <w:bottom w:val="single" w:sz="6" w:space="0" w:color="C9D2DF"/>
              <w:right w:val="single" w:sz="6" w:space="0" w:color="C9D2DF"/>
            </w:tcBorders>
            <w:tcMar>
              <w:top w:w="100" w:type="dxa"/>
              <w:start w:w="90" w:type="dxa"/>
              <w:bottom w:w="100" w:type="dxa"/>
              <w:end w:w="90" w:type="dxa"/>
            </w:tcMar>
          </w:tcPr>
          <w:p>
            <w:pPr>
              <w:jc w:val="center"/>
            </w:pPr>
            <w:r>
              <w:rPr>
                <w:rFonts w:ascii="Arial" w:hAnsi="Arial" w:eastAsia="Arial"/>
                <w:b w:val="0"/>
                <w:i w:val="0"/>
                <w:color w:val="111827"/>
                <w:sz w:val="16"/>
              </w:rPr>
              <w:t>{{aggregate20mmBaseRate}} per ton</w:t>
            </w:r>
          </w:p>
        </w:tc>
      </w:tr>
    </w:tbl>
    <w:p>
      <w:pPr>
        <w:spacing w:after="80" w:before="160" w:line="254" w:lineRule="auto"/>
      </w:pPr>
      <w:r>
        <w:rPr>
          <w:rFonts w:ascii="Arial" w:hAnsi="Arial" w:eastAsia="Arial"/>
          <w:b/>
          <w:i w:val="0"/>
          <w:color w:val="1F4E79"/>
          <w:sz w:val="22"/>
        </w:rPr>
        <w:t>Payment Terms</w:t>
      </w:r>
    </w:p>
    <w:p>
      <w:pPr>
        <w:spacing w:after="80" w:before="0" w:line="250" w:lineRule="auto"/>
      </w:pPr>
      <w:r>
        <w:rPr>
          <w:rFonts w:ascii="Arial" w:hAnsi="Arial" w:eastAsia="Arial"/>
          <w:b w:val="0"/>
          <w:i w:val="0"/>
          <w:color w:val="111827"/>
          <w:sz w:val="19"/>
        </w:rPr>
        <w:t>1. Advance Payment: {{advancePaymentTerms}}</w:t>
      </w:r>
    </w:p>
    <w:p>
      <w:pPr>
        <w:spacing w:after="80" w:before="0" w:line="250" w:lineRule="auto"/>
      </w:pPr>
      <w:r>
        <w:rPr>
          <w:rFonts w:ascii="Arial" w:hAnsi="Arial" w:eastAsia="Arial"/>
          <w:b w:val="0"/>
          <w:i w:val="0"/>
          <w:color w:val="111827"/>
          <w:sz w:val="19"/>
        </w:rPr>
        <w:t>2. Credit Payment Option: If credit is extended, payment will require a Bank Guarantee of equivalent value issued by a nationalized bank. Interest at the rate of {{overdueInterestRate}} per annum will be charged on overdue payments.</w:t>
      </w:r>
    </w:p>
    <w:p>
      <w:pPr>
        <w:spacing w:after="80" w:before="0" w:line="250" w:lineRule="auto"/>
      </w:pPr>
      <w:r>
        <w:rPr>
          <w:rFonts w:ascii="Arial" w:hAnsi="Arial" w:eastAsia="Arial"/>
          <w:b w:val="0"/>
          <w:i w:val="0"/>
          <w:color w:val="111827"/>
          <w:sz w:val="19"/>
        </w:rPr>
        <w:t>3. Suspension of Deliveries: Non-payment will result in the suspension of all further deliveries until outstanding dues are settled.</w:t>
      </w:r>
    </w:p>
    <w:p>
      <w:pPr>
        <w:spacing w:after="80" w:before="160" w:line="254" w:lineRule="auto"/>
      </w:pPr>
      <w:r>
        <w:rPr>
          <w:rFonts w:ascii="Arial" w:hAnsi="Arial" w:eastAsia="Arial"/>
          <w:b/>
          <w:i w:val="0"/>
          <w:color w:val="1F4E79"/>
          <w:sz w:val="22"/>
        </w:rPr>
        <w:t>Delivery Terms</w:t>
      </w:r>
    </w:p>
    <w:p>
      <w:pPr>
        <w:spacing w:after="60" w:before="0" w:line="240" w:lineRule="auto"/>
      </w:pPr>
      <w:r>
        <w:rPr>
          <w:rFonts w:ascii="Arial" w:hAnsi="Arial" w:eastAsia="Arial"/>
          <w:b w:val="0"/>
          <w:i w:val="0"/>
          <w:color w:val="111827"/>
          <w:sz w:val="18"/>
        </w:rPr>
        <w:t>1. Delivery Schedule: Concrete requirements must be provided {{deliveryNoticeHours}} hours in advance for scheduling deliveries.</w:t>
      </w:r>
    </w:p>
    <w:p>
      <w:pPr>
        <w:spacing w:after="60" w:before="0" w:line="240" w:lineRule="auto"/>
      </w:pPr>
      <w:r>
        <w:rPr>
          <w:rFonts w:ascii="Arial" w:hAnsi="Arial" w:eastAsia="Arial"/>
          <w:b w:val="0"/>
          <w:i w:val="0"/>
          <w:color w:val="111827"/>
          <w:sz w:val="18"/>
        </w:rPr>
        <w:t>2. Access Requirements: The customer is responsible for providing clear access for transit mixers, pumps, and related equipment at the site.</w:t>
      </w:r>
    </w:p>
    <w:p>
      <w:pPr>
        <w:spacing w:after="60" w:before="0" w:line="240" w:lineRule="auto"/>
      </w:pPr>
      <w:r>
        <w:rPr>
          <w:rFonts w:ascii="Arial" w:hAnsi="Arial" w:eastAsia="Arial"/>
          <w:b w:val="0"/>
          <w:i w:val="0"/>
          <w:color w:val="111827"/>
          <w:sz w:val="18"/>
        </w:rPr>
        <w:t>3. Traffic Restrictions: We will not be able to supply during government-imposed traffic restrictions. In case of urgent deliveries, permission from the authorities must be provided by the customer.</w:t>
      </w:r>
    </w:p>
    <w:p>
      <w:pPr>
        <w:spacing w:after="60" w:before="0" w:line="240" w:lineRule="auto"/>
      </w:pPr>
      <w:r>
        <w:rPr>
          <w:rFonts w:ascii="Arial" w:hAnsi="Arial" w:eastAsia="Arial"/>
          <w:b w:val="0"/>
          <w:i w:val="0"/>
          <w:color w:val="111827"/>
          <w:sz w:val="18"/>
        </w:rPr>
        <w:t>4. Idle Time Charges: Any delays in unloading of concrete exceeding {{freeUnloadMinutes}} minutes will incur a charge of Rs. {{idleChargePerHour}} per hour or part thereof.</w:t>
      </w:r>
    </w:p>
    <w:p>
      <w:pPr>
        <w:spacing w:after="60" w:before="0" w:line="240" w:lineRule="auto"/>
      </w:pPr>
      <w:r>
        <w:rPr>
          <w:rFonts w:ascii="Arial" w:hAnsi="Arial" w:eastAsia="Arial"/>
          <w:b w:val="0"/>
          <w:i w:val="0"/>
          <w:color w:val="111827"/>
          <w:sz w:val="18"/>
        </w:rPr>
        <w:t>5. Partial Delivery: The minimum delivery quantity is {{minimumLoadCum}} m3 per load. Part deliveries below {{partialDeliveryCum}} m3 will incur an additional charge of Rs. {{partialDeliveryChargePerCum}} per cum.</w:t>
      </w:r>
    </w:p>
    <w:p>
      <w:pPr>
        <w:spacing w:after="80" w:before="160" w:line="254" w:lineRule="auto"/>
      </w:pPr>
      <w:r>
        <w:rPr>
          <w:rFonts w:ascii="Arial" w:hAnsi="Arial" w:eastAsia="Arial"/>
          <w:b/>
          <w:i w:val="0"/>
          <w:color w:val="1F4E79"/>
          <w:sz w:val="22"/>
        </w:rPr>
        <w:t>Quality Assurance</w:t>
      </w:r>
    </w:p>
    <w:p>
      <w:pPr>
        <w:spacing w:after="40" w:before="0" w:line="254" w:lineRule="auto"/>
      </w:pPr>
      <w:r>
        <w:rPr>
          <w:rFonts w:ascii="Arial" w:hAnsi="Arial" w:eastAsia="Arial"/>
          <w:b w:val="0"/>
          <w:i w:val="0"/>
          <w:color w:val="111827"/>
          <w:sz w:val="19"/>
        </w:rPr>
        <w:t>1. Standard Slump: {{standardSlump}}. Concrete quality will be maintained as per approved mix design and relevant standards.</w:t>
      </w:r>
    </w:p>
    <w:p>
      <w:r>
        <w:br w:type="page"/>
      </w:r>
    </w:p>
    <w:p>
      <w:pPr>
        <w:spacing w:after="80" w:before="160" w:line="254" w:lineRule="auto"/>
      </w:pPr>
      <w:r>
        <w:rPr>
          <w:rFonts w:ascii="Arial" w:hAnsi="Arial" w:eastAsia="Arial"/>
          <w:b/>
          <w:i w:val="0"/>
          <w:color w:val="1F4E79"/>
          <w:sz w:val="22"/>
        </w:rPr>
        <w:t>Dispute Resolution</w:t>
      </w:r>
    </w:p>
    <w:p>
      <w:pPr>
        <w:spacing w:after="180" w:before="0" w:line="254" w:lineRule="auto"/>
      </w:pPr>
      <w:r>
        <w:rPr>
          <w:rFonts w:ascii="Arial" w:hAnsi="Arial" w:eastAsia="Arial"/>
          <w:b w:val="0"/>
          <w:i w:val="0"/>
          <w:color w:val="111827"/>
          <w:sz w:val="20"/>
        </w:rPr>
        <w:t>All disputes arising from this quotation, including its interpretation or any other matter, shall be subject to the jurisdiction of the courts in Odisha, irrespective of any other location specified in previous agreements.</w:t>
      </w:r>
    </w:p>
    <w:p>
      <w:pPr>
        <w:spacing w:after="160" w:before="0" w:line="254" w:lineRule="auto"/>
      </w:pPr>
      <w:r>
        <w:rPr>
          <w:rFonts w:ascii="Arial" w:hAnsi="Arial" w:eastAsia="Arial"/>
          <w:b w:val="0"/>
          <w:i w:val="0"/>
          <w:color w:val="111827"/>
          <w:sz w:val="20"/>
        </w:rPr>
        <w:t>We trust this quotation meets your requirements, and we are committed to providing you with the best quality products and services. Should you have any further queries or require additional information, please do not hesitate to contact us.</w:t>
      </w:r>
    </w:p>
    <w:p>
      <w:pPr>
        <w:spacing w:after="400" w:before="0" w:line="254" w:lineRule="auto"/>
      </w:pPr>
      <w:r>
        <w:rPr>
          <w:rFonts w:ascii="Arial" w:hAnsi="Arial" w:eastAsia="Arial"/>
          <w:b w:val="0"/>
          <w:i w:val="0"/>
          <w:color w:val="111827"/>
          <w:sz w:val="20"/>
        </w:rPr>
        <w:t>We look forward to a fruitful and long-term partnership.</w:t>
      </w:r>
    </w:p>
    <w:p>
      <w:pPr>
        <w:spacing w:after="40" w:before="0" w:line="254" w:lineRule="auto"/>
      </w:pPr>
      <w:r>
        <w:rPr>
          <w:rFonts w:ascii="Arial" w:hAnsi="Arial" w:eastAsia="Arial"/>
          <w:b/>
          <w:i w:val="0"/>
          <w:color w:val="111827"/>
          <w:sz w:val="20"/>
        </w:rPr>
        <w:t>For SPD Concrete Pvt Ltd</w:t>
      </w:r>
    </w:p>
    <w:p>
      <w:pPr>
        <w:spacing w:after="960" w:before="0" w:line="254" w:lineRule="auto"/>
      </w:pPr>
      <w:r>
        <w:rPr>
          <w:rFonts w:ascii="Arial" w:hAnsi="Arial" w:eastAsia="Arial"/>
          <w:b/>
          <w:i w:val="0"/>
          <w:color w:val="111827"/>
          <w:sz w:val="20"/>
        </w:rPr>
        <w:t xml:space="preserve">Unit: </w:t>
      </w:r>
      <w:r>
        <w:rPr>
          <w:rFonts w:ascii="Arial" w:hAnsi="Arial" w:eastAsia="Arial"/>
          <w:b w:val="0"/>
          <w:i w:val="0"/>
          <w:color w:val="111827"/>
          <w:sz w:val="20"/>
        </w:rPr>
        <w:t>{{unitName}}</w:t>
      </w:r>
    </w:p>
    <w:p>
      <w:pPr>
        <w:spacing w:after="20" w:before="0" w:line="254" w:lineRule="auto"/>
      </w:pPr>
      <w:r>
        <w:rPr>
          <w:rFonts w:ascii="Arial" w:hAnsi="Arial" w:eastAsia="Arial"/>
          <w:b/>
          <w:i w:val="0"/>
          <w:color w:val="111827"/>
          <w:sz w:val="20"/>
        </w:rPr>
        <w:t>{{signatoryName}}</w:t>
      </w:r>
    </w:p>
    <w:p>
      <w:pPr>
        <w:spacing w:after="20" w:before="0" w:line="254" w:lineRule="auto"/>
      </w:pPr>
      <w:r>
        <w:rPr>
          <w:rFonts w:ascii="Arial" w:hAnsi="Arial" w:eastAsia="Arial"/>
          <w:b w:val="0"/>
          <w:i w:val="0"/>
          <w:color w:val="111827"/>
          <w:sz w:val="20"/>
        </w:rPr>
        <w:t>{{signatoryTitle}}</w:t>
      </w:r>
    </w:p>
    <w:p>
      <w:pPr>
        <w:spacing w:after="20" w:before="0" w:line="254" w:lineRule="auto"/>
      </w:pPr>
      <w:r>
        <w:rPr>
          <w:rFonts w:ascii="Arial" w:hAnsi="Arial" w:eastAsia="Arial"/>
          <w:b w:val="0"/>
          <w:i w:val="0"/>
          <w:color w:val="111827"/>
          <w:sz w:val="20"/>
        </w:rPr>
        <w:t>{{signatoryPhone}}</w:t>
      </w:r>
    </w:p>
    <w:p>
      <w:pPr>
        <w:spacing w:after="360" w:before="0" w:line="254" w:lineRule="auto"/>
      </w:pPr>
      <w:r>
        <w:rPr>
          <w:rFonts w:ascii="Arial" w:hAnsi="Arial" w:eastAsia="Arial"/>
          <w:b w:val="0"/>
          <w:i w:val="0"/>
          <w:color w:val="111827"/>
          <w:sz w:val="20"/>
        </w:rPr>
        <w:t>{{signatoryEmail}}</w:t>
      </w:r>
    </w:p>
    <w:sectPr w:rsidR="00FC693F" w:rsidRPr="0006063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