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C544A" w14:textId="77777777" w:rsidR="00501FBF" w:rsidRDefault="00000000">
      <w:pPr>
        <w:pStyle w:val="Heading2"/>
      </w:pPr>
      <w:bookmarkStart w:id="0" w:name="definitions"/>
      <w:r>
        <w:t>DEFINITIONS</w:t>
      </w:r>
    </w:p>
    <w:p w14:paraId="69DA8E32" w14:textId="77777777" w:rsidR="00501FBF" w:rsidRDefault="00000000">
      <w:pPr>
        <w:pStyle w:val="FirstParagraph"/>
      </w:pPr>
      <w:r>
        <w:t xml:space="preserve">In the domain of finance, volatility denoted by </w:t>
      </w:r>
      <m:oMath>
        <m:r>
          <w:rPr>
            <w:rFonts w:ascii="Cambria Math" w:hAnsi="Cambria Math"/>
          </w:rPr>
          <m:t>vol</m:t>
        </m:r>
      </m:oMath>
      <w:r>
        <w:t xml:space="preserve"> is the extent with which financial values such as asset prices vary over time. In statistical terms, standard deviation denoted by </w:t>
      </w:r>
      <m:oMath>
        <m:r>
          <w:rPr>
            <w:rFonts w:ascii="Cambria Math" w:hAnsi="Cambria Math"/>
          </w:rPr>
          <m:t>σ</m:t>
        </m:r>
      </m:oMath>
      <w:r>
        <w:t xml:space="preserve"> measures the variation of a series of financial values over a predefined period of time about its mean </w:t>
      </w:r>
      <m:oMath>
        <m:bar>
          <m:barPr>
            <m:pos m:val="top"/>
            <m:ctrlPr>
              <w:rPr>
                <w:rFonts w:ascii="Cambria Math" w:hAnsi="Cambria Math"/>
              </w:rPr>
            </m:ctrlPr>
          </m:barPr>
          <m:e>
            <m:r>
              <w:rPr>
                <w:rFonts w:ascii="Cambria Math" w:hAnsi="Cambria Math"/>
              </w:rPr>
              <m:t>x</m:t>
            </m:r>
          </m:e>
        </m:bar>
      </m:oMath>
      <w:r>
        <w:t xml:space="preserve">. Similarly, variance denoted by </w:t>
      </w:r>
      <m:oMath>
        <m:r>
          <w:rPr>
            <w:rFonts w:ascii="Cambria Math" w:hAnsi="Cambria Math"/>
          </w:rPr>
          <m:t>var</m:t>
        </m:r>
      </m:oMath>
      <w:r>
        <w:t xml:space="preserve"> or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measures the spread or dispersion between the values in the series, ie to what extent each value is away from the mean </w:t>
      </w:r>
      <m:oMath>
        <m:bar>
          <m:barPr>
            <m:pos m:val="top"/>
            <m:ctrlPr>
              <w:rPr>
                <w:rFonts w:ascii="Cambria Math" w:hAnsi="Cambria Math"/>
              </w:rPr>
            </m:ctrlPr>
          </m:barPr>
          <m:e>
            <m:r>
              <w:rPr>
                <w:rFonts w:ascii="Cambria Math" w:hAnsi="Cambria Math"/>
              </w:rPr>
              <m:t>x</m:t>
            </m:r>
          </m:e>
        </m:bar>
      </m:oMath>
      <w:r>
        <w:t>.</w:t>
      </w:r>
    </w:p>
    <w:p w14:paraId="008E02EA" w14:textId="77777777" w:rsidR="00501FBF" w:rsidRDefault="00000000">
      <w:pPr>
        <w:pStyle w:val="BodyText"/>
      </w:pPr>
      <w:r>
        <w:t xml:space="preserve">The relationships between </w:t>
      </w:r>
      <m:oMath>
        <m:r>
          <w:rPr>
            <w:rFonts w:ascii="Cambria Math" w:hAnsi="Cambria Math"/>
          </w:rPr>
          <m:t>vol</m:t>
        </m:r>
      </m:oMath>
      <w:r>
        <w:t xml:space="preserve">, </w:t>
      </w:r>
      <m:oMath>
        <m:r>
          <w:rPr>
            <w:rFonts w:ascii="Cambria Math" w:hAnsi="Cambria Math"/>
          </w:rPr>
          <m:t>σ</m:t>
        </m:r>
      </m:oMath>
      <w:r>
        <w:t xml:space="preserve"> and </w:t>
      </w:r>
      <m:oMath>
        <m:bar>
          <m:barPr>
            <m:pos m:val="top"/>
            <m:ctrlPr>
              <w:rPr>
                <w:rFonts w:ascii="Cambria Math" w:hAnsi="Cambria Math"/>
              </w:rPr>
            </m:ctrlPr>
          </m:barPr>
          <m:e>
            <m:r>
              <w:rPr>
                <w:rFonts w:ascii="Cambria Math" w:hAnsi="Cambria Math"/>
              </w:rPr>
              <m:t>x</m:t>
            </m:r>
          </m:e>
        </m:bar>
      </m:oMath>
      <w:r>
        <w:t xml:space="preserve"> are:</w:t>
      </w:r>
    </w:p>
    <w:p w14:paraId="631269F4" w14:textId="77777777" w:rsidR="00501FBF" w:rsidRDefault="00000000">
      <w:pPr>
        <w:pStyle w:val="BodyText"/>
      </w:pPr>
      <m:oMathPara>
        <m:oMath>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sSubSup>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num>
            <m:den>
              <m:r>
                <w:rPr>
                  <w:rFonts w:ascii="Cambria Math" w:hAnsi="Cambria Math"/>
                </w:rPr>
                <m:t>n</m:t>
              </m:r>
            </m:den>
          </m:f>
        </m:oMath>
      </m:oMathPara>
    </w:p>
    <w:p w14:paraId="54779027" w14:textId="77777777" w:rsidR="00501FBF" w:rsidRDefault="00000000">
      <w:pPr>
        <w:pStyle w:val="BodyText"/>
      </w:pPr>
      <w:r>
        <w:t xml:space="preserve">where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a value in the series, </w:t>
      </w:r>
      <m:oMath>
        <m:bar>
          <m:barPr>
            <m:pos m:val="top"/>
            <m:ctrlPr>
              <w:rPr>
                <w:rFonts w:ascii="Cambria Math" w:hAnsi="Cambria Math"/>
              </w:rPr>
            </m:ctrlPr>
          </m:barPr>
          <m:e>
            <m:r>
              <w:rPr>
                <w:rFonts w:ascii="Cambria Math" w:hAnsi="Cambria Math"/>
              </w:rPr>
              <m:t>x</m:t>
            </m:r>
          </m:e>
        </m:bar>
      </m:oMath>
      <w:r>
        <w:t xml:space="preserve"> is the mean of all values in the series, </w:t>
      </w:r>
      <m:oMath>
        <m:r>
          <w:rPr>
            <w:rFonts w:ascii="Cambria Math" w:hAnsi="Cambria Math"/>
          </w:rPr>
          <m:t>n</m:t>
        </m:r>
      </m:oMath>
      <w:r>
        <w:t xml:space="preserve"> is the number of values in the series</w:t>
      </w:r>
    </w:p>
    <w:p w14:paraId="09E21DA9" w14:textId="77777777" w:rsidR="00501FBF" w:rsidRDefault="00000000">
      <w:pPr>
        <w:pStyle w:val="BodyText"/>
      </w:pPr>
      <w:r>
        <w:t xml:space="preserve">and </w:t>
      </w:r>
      <m:oMath>
        <m:r>
          <w:rPr>
            <w:rFonts w:ascii="Cambria Math" w:hAnsi="Cambria Math"/>
          </w:rPr>
          <m:t>vol</m:t>
        </m:r>
        <m:r>
          <m:rPr>
            <m:sty m:val="p"/>
          </m:rPr>
          <w:rPr>
            <w:rFonts w:ascii="Cambria Math" w:hAnsi="Cambria Math"/>
          </w:rPr>
          <m:t>=</m:t>
        </m:r>
        <m:r>
          <w:rPr>
            <w:rFonts w:ascii="Cambria Math" w:hAnsi="Cambria Math"/>
          </w:rPr>
          <m:t>σ</m:t>
        </m:r>
        <m:rad>
          <m:radPr>
            <m:degHide m:val="1"/>
            <m:ctrlPr>
              <w:rPr>
                <w:rFonts w:ascii="Cambria Math" w:hAnsi="Cambria Math"/>
              </w:rPr>
            </m:ctrlPr>
          </m:radPr>
          <m:deg/>
          <m:e>
            <m:r>
              <w:rPr>
                <w:rFonts w:ascii="Cambria Math" w:hAnsi="Cambria Math"/>
              </w:rPr>
              <m:t>T</m:t>
            </m:r>
          </m:e>
        </m:rad>
      </m:oMath>
      <w:r>
        <w:t xml:space="preserve"> where </w:t>
      </w:r>
      <m:oMath>
        <m:r>
          <w:rPr>
            <w:rFonts w:ascii="Cambria Math" w:hAnsi="Cambria Math"/>
          </w:rPr>
          <m:t>T</m:t>
        </m:r>
      </m:oMath>
      <w:r>
        <w:t xml:space="preserve"> is the number of time intervals over which the </w:t>
      </w:r>
      <m:oMath>
        <m:r>
          <w:rPr>
            <w:rFonts w:ascii="Cambria Math" w:hAnsi="Cambria Math"/>
          </w:rPr>
          <m:t>vol</m:t>
        </m:r>
      </m:oMath>
      <w:r>
        <w:t xml:space="preserve"> is measured or observed.</w:t>
      </w:r>
    </w:p>
    <w:p w14:paraId="429888AD" w14:textId="77777777" w:rsidR="00501FBF" w:rsidRDefault="00000000">
      <w:pPr>
        <w:pStyle w:val="BodyText"/>
      </w:pPr>
      <w:r>
        <w:t xml:space="preserve">A special form of variance </w:t>
      </w:r>
      <m:oMath>
        <m:r>
          <w:rPr>
            <w:rFonts w:ascii="Cambria Math" w:hAnsi="Cambria Math"/>
          </w:rPr>
          <m:t>var</m:t>
        </m:r>
      </m:oMath>
      <w:r>
        <w:t xml:space="preserve"> or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that only consider either the upside or downside risk is called semivariance, given by the following</w:t>
      </w:r>
    </w:p>
    <w:p w14:paraId="70C03C19" w14:textId="77777777" w:rsidR="00501FBF" w:rsidRDefault="00000000">
      <w:pPr>
        <w:pStyle w:val="BodyText"/>
      </w:pPr>
      <m:oMathPara>
        <m:oMath>
          <m:r>
            <w:rPr>
              <w:rFonts w:ascii="Cambria Math" w:hAnsi="Cambria Math"/>
            </w:rPr>
            <m:t>Semivariance</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m:rPr>
              <m:sty m:val="p"/>
            </m:rP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&lt;</m:t>
              </m:r>
              <m:bar>
                <m:barPr>
                  <m:pos m:val="top"/>
                  <m:ctrlPr>
                    <w:rPr>
                      <w:rFonts w:ascii="Cambria Math" w:hAnsi="Cambria Math"/>
                    </w:rPr>
                  </m:ctrlPr>
                </m:barPr>
                <m:e>
                  <m:r>
                    <w:rPr>
                      <w:rFonts w:ascii="Cambria Math" w:hAnsi="Cambria Math"/>
                    </w:rPr>
                    <m:t>x</m:t>
                  </m:r>
                </m:e>
              </m:bar>
            </m:sub>
            <m:sup>
              <m:r>
                <w:rPr>
                  <w:rFonts w:ascii="Cambria Math" w:hAnsi="Cambria Math"/>
                </w:rPr>
                <m:t>n</m:t>
              </m:r>
            </m:sup>
          </m:sSubSup>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oMath>
      </m:oMathPara>
    </w:p>
    <w:p w14:paraId="19CE7076" w14:textId="77777777" w:rsidR="00501FBF" w:rsidRDefault="00000000">
      <w:pPr>
        <w:pStyle w:val="BodyText"/>
      </w:pPr>
      <w:r>
        <w:t>or</w:t>
      </w:r>
    </w:p>
    <w:p w14:paraId="1FBD2F91" w14:textId="77777777" w:rsidR="00501FBF" w:rsidRDefault="00000000">
      <w:pPr>
        <w:pStyle w:val="BodyText"/>
      </w:pPr>
      <m:oMathPara>
        <m:oMath>
          <m:r>
            <w:rPr>
              <w:rFonts w:ascii="Cambria Math" w:hAnsi="Cambria Math"/>
            </w:rPr>
            <m:t>Semivariance</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m:rPr>
              <m:sty m:val="p"/>
            </m:rP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&gt;</m:t>
              </m:r>
              <m:bar>
                <m:barPr>
                  <m:pos m:val="top"/>
                  <m:ctrlPr>
                    <w:rPr>
                      <w:rFonts w:ascii="Cambria Math" w:hAnsi="Cambria Math"/>
                    </w:rPr>
                  </m:ctrlPr>
                </m:barPr>
                <m:e>
                  <m:r>
                    <w:rPr>
                      <w:rFonts w:ascii="Cambria Math" w:hAnsi="Cambria Math"/>
                    </w:rPr>
                    <m:t>x</m:t>
                  </m:r>
                </m:e>
              </m:bar>
            </m:sub>
            <m:sup>
              <m:r>
                <w:rPr>
                  <w:rFonts w:ascii="Cambria Math" w:hAnsi="Cambria Math"/>
                </w:rPr>
                <m:t>n</m:t>
              </m:r>
            </m:sup>
          </m:sSubSup>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oMath>
      </m:oMathPara>
    </w:p>
    <w:p w14:paraId="37D69934" w14:textId="77777777" w:rsidR="00501FBF" w:rsidRDefault="00000000">
      <w:pPr>
        <w:pStyle w:val="BodyText"/>
      </w:pPr>
      <w:r>
        <w:t xml:space="preserve">Correlation </w:t>
      </w:r>
      <m:oMath>
        <m:r>
          <w:rPr>
            <w:rFonts w:ascii="Cambria Math" w:hAnsi="Cambria Math"/>
          </w:rPr>
          <m:t>ρ</m:t>
        </m:r>
      </m:oMath>
      <w:r>
        <w:t xml:space="preserve"> is another statistic that measures the extent with which two series of values are linearly related or moving together or otherwise over the period observed.</w:t>
      </w:r>
    </w:p>
    <w:p w14:paraId="3EC03D54" w14:textId="77777777" w:rsidR="00501FBF" w:rsidRDefault="00000000">
      <w:pPr>
        <w:pStyle w:val="BodyText"/>
      </w:pPr>
      <m:oMathPara>
        <m:oMath>
          <m:sSub>
            <m:sSubPr>
              <m:ctrlPr>
                <w:rPr>
                  <w:rFonts w:ascii="Cambria Math" w:hAnsi="Cambria Math"/>
                </w:rPr>
              </m:ctrlPr>
            </m:sSubPr>
            <m:e>
              <m:r>
                <w:rPr>
                  <w:rFonts w:ascii="Cambria Math" w:hAnsi="Cambria Math"/>
                </w:rPr>
                <m:t>ρ</m:t>
              </m:r>
            </m:e>
            <m:sub>
              <m:r>
                <w:rPr>
                  <w:rFonts w:ascii="Cambria Math" w:hAnsi="Cambria Math"/>
                </w:rPr>
                <m:t>xy</m:t>
              </m:r>
            </m:sub>
          </m:sSub>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Σ</m:t>
                      </m:r>
                      <m:d>
                        <m:dPr>
                          <m:ctrlPr>
                            <w:rPr>
                              <w:rFonts w:ascii="Cambria Math" w:hAnsi="Cambria Math"/>
                            </w:rPr>
                          </m:ctrlPr>
                        </m:dPr>
                        <m:e>
                          <m:r>
                            <w:rPr>
                              <w:rFonts w:ascii="Cambria Math" w:hAnsi="Cambria Math"/>
                            </w:rPr>
                            <m:t>y</m:t>
                          </m:r>
                        </m:e>
                      </m:d>
                    </m:e>
                  </m:d>
                </m:e>
              </m:d>
            </m:num>
            <m:den>
              <m:rad>
                <m:radPr>
                  <m:degHide m:val="1"/>
                  <m:ctrlPr>
                    <w:rPr>
                      <w:rFonts w:ascii="Cambria Math" w:hAnsi="Cambria Math"/>
                    </w:rPr>
                  </m:ctrlPr>
                </m:radPr>
                <m:deg/>
                <m:e>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Σ</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e>
                      </m:d>
                      <m:r>
                        <m:rPr>
                          <m:sty m:val="p"/>
                        </m:rPr>
                        <w:rPr>
                          <w:rFonts w:ascii="Cambria Math" w:hAnsi="Cambria Math"/>
                        </w:rPr>
                        <m:t>-</m:t>
                      </m:r>
                      <m:r>
                        <w:rPr>
                          <w:rFonts w:ascii="Cambria Math" w:hAnsi="Cambria Math"/>
                        </w:rPr>
                        <m:t>Σ</m:t>
                      </m:r>
                      <m:sSup>
                        <m:sSupPr>
                          <m:ctrlPr>
                            <w:rPr>
                              <w:rFonts w:ascii="Cambria Math" w:hAnsi="Cambria Math"/>
                            </w:rPr>
                          </m:ctrlPr>
                        </m:sSupPr>
                        <m:e>
                          <m:d>
                            <m:dPr>
                              <m:ctrlPr>
                                <w:rPr>
                                  <w:rFonts w:ascii="Cambria Math" w:hAnsi="Cambria Math"/>
                                </w:rPr>
                              </m:ctrlPr>
                            </m:dPr>
                            <m:e>
                              <m:r>
                                <w:rPr>
                                  <w:rFonts w:ascii="Cambria Math" w:hAnsi="Cambria Math"/>
                                </w:rPr>
                                <m:t>x</m:t>
                              </m:r>
                            </m:e>
                          </m:d>
                        </m:e>
                        <m:sup>
                          <m:r>
                            <w:rPr>
                              <w:rFonts w:ascii="Cambria Math" w:hAnsi="Cambria Math"/>
                            </w:rPr>
                            <m:t>2</m:t>
                          </m:r>
                        </m:sup>
                      </m:sSup>
                    </m:e>
                  </m:d>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Σ</m:t>
                      </m:r>
                      <m:d>
                        <m:dPr>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2</m:t>
                              </m:r>
                            </m:sup>
                          </m:sSup>
                        </m:e>
                      </m:d>
                      <m:r>
                        <m:rPr>
                          <m:sty m:val="p"/>
                        </m:rPr>
                        <w:rPr>
                          <w:rFonts w:ascii="Cambria Math" w:hAnsi="Cambria Math"/>
                        </w:rPr>
                        <m:t>-</m:t>
                      </m:r>
                      <m:r>
                        <w:rPr>
                          <w:rFonts w:ascii="Cambria Math" w:hAnsi="Cambria Math"/>
                        </w:rPr>
                        <m:t>Σ</m:t>
                      </m:r>
                      <m:sSup>
                        <m:sSupPr>
                          <m:ctrlPr>
                            <w:rPr>
                              <w:rFonts w:ascii="Cambria Math" w:hAnsi="Cambria Math"/>
                            </w:rPr>
                          </m:ctrlPr>
                        </m:sSupPr>
                        <m:e>
                          <m:d>
                            <m:dPr>
                              <m:ctrlPr>
                                <w:rPr>
                                  <w:rFonts w:ascii="Cambria Math" w:hAnsi="Cambria Math"/>
                                </w:rPr>
                              </m:ctrlPr>
                            </m:dPr>
                            <m:e>
                              <m:r>
                                <w:rPr>
                                  <w:rFonts w:ascii="Cambria Math" w:hAnsi="Cambria Math"/>
                                </w:rPr>
                                <m:t>y</m:t>
                              </m:r>
                            </m:e>
                          </m:d>
                        </m:e>
                        <m:sup>
                          <m:r>
                            <w:rPr>
                              <w:rFonts w:ascii="Cambria Math" w:hAnsi="Cambria Math"/>
                            </w:rPr>
                            <m:t>2</m:t>
                          </m:r>
                        </m:sup>
                      </m:sSup>
                    </m:e>
                  </m:d>
                </m:e>
              </m:rad>
            </m:den>
          </m:f>
          <m:r>
            <m:rPr>
              <m:sty m:val="p"/>
            </m:rPr>
            <w:rPr>
              <w:rFonts w:ascii="Cambria Math" w:hAnsi="Cambria Math"/>
            </w:rPr>
            <m:t>=</m:t>
          </m:r>
          <m:f>
            <m:fPr>
              <m:ctrlPr>
                <w:rPr>
                  <w:rFonts w:ascii="Cambria Math" w:hAnsi="Cambria Math"/>
                </w:rPr>
              </m:ctrlPr>
            </m:fPr>
            <m:num>
              <m:r>
                <w:rPr>
                  <w:rFonts w:ascii="Cambria Math" w:hAnsi="Cambria Math"/>
                </w:rPr>
                <m:t>Cov</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num>
            <m:den>
              <m:sSub>
                <m:sSubPr>
                  <m:ctrlPr>
                    <w:rPr>
                      <w:rFonts w:ascii="Cambria Math" w:hAnsi="Cambria Math"/>
                    </w:rPr>
                  </m:ctrlPr>
                </m:sSubPr>
                <m:e>
                  <m:r>
                    <w:rPr>
                      <w:rFonts w:ascii="Cambria Math" w:hAnsi="Cambria Math"/>
                    </w:rPr>
                    <m:t>σ</m:t>
                  </m:r>
                </m:e>
                <m:sub>
                  <m:r>
                    <w:rPr>
                      <w:rFonts w:ascii="Cambria Math" w:hAnsi="Cambria Math"/>
                    </w:rPr>
                    <m:t>x</m:t>
                  </m:r>
                </m:sub>
              </m:sSub>
              <m:sSub>
                <m:sSubPr>
                  <m:ctrlPr>
                    <w:rPr>
                      <w:rFonts w:ascii="Cambria Math" w:hAnsi="Cambria Math"/>
                    </w:rPr>
                  </m:ctrlPr>
                </m:sSubPr>
                <m:e>
                  <m:r>
                    <w:rPr>
                      <w:rFonts w:ascii="Cambria Math" w:hAnsi="Cambria Math"/>
                    </w:rPr>
                    <m:t>σ</m:t>
                  </m:r>
                </m:e>
                <m:sub>
                  <m:r>
                    <w:rPr>
                      <w:rFonts w:ascii="Cambria Math" w:hAnsi="Cambria Math"/>
                    </w:rPr>
                    <m:t>y</m:t>
                  </m:r>
                </m:sub>
              </m:sSub>
            </m:den>
          </m:f>
        </m:oMath>
      </m:oMathPara>
    </w:p>
    <w:p w14:paraId="6FFD8665" w14:textId="77777777" w:rsidR="00501FBF" w:rsidRDefault="00000000">
      <w:pPr>
        <w:pStyle w:val="BodyText"/>
      </w:pPr>
      <w:r>
        <w:t>where:</w:t>
      </w:r>
    </w:p>
    <w:p w14:paraId="6C19CA73" w14:textId="77777777" w:rsidR="00501FBF" w:rsidRDefault="00000000">
      <w:pPr>
        <w:pStyle w:val="BodyText"/>
      </w:pPr>
      <w:r>
        <w:t>x,y = two series of values</w:t>
      </w:r>
    </w:p>
    <w:p w14:paraId="34787E10" w14:textId="77777777" w:rsidR="00501FBF" w:rsidRDefault="00000000">
      <w:pPr>
        <w:pStyle w:val="BodyText"/>
      </w:pPr>
      <w:r>
        <w:t>n = number of observations</w:t>
      </w:r>
    </w:p>
    <w:p w14:paraId="0D88EF07" w14:textId="77777777" w:rsidR="00501FBF" w:rsidRDefault="00000000">
      <w:pPr>
        <w:pStyle w:val="BodyText"/>
      </w:pPr>
      <w:r>
        <w:t>Given the above relationships, and risk defined as the likelihood of loss, value at risk statistically measures the potential loss in dollar amount at a given level of confidence or threshold for a given period of time. In particular, conditional value of risk measures the total potential loss from the threshold to negative infinity. It is also known as expected shortfall for this reason.</w:t>
      </w:r>
    </w:p>
    <w:p w14:paraId="59469065" w14:textId="77777777" w:rsidR="00501FBF" w:rsidRDefault="00000000">
      <w:pPr>
        <w:pStyle w:val="BodyText"/>
      </w:pPr>
      <w:r>
        <w:lastRenderedPageBreak/>
        <w:t>Other commonly used measurements of risk are standard deviation, R-squared, alpha, beta, Sharpe ratio, value at risk (VaR), and conditional value at risk (CVaR).</w:t>
      </w:r>
    </w:p>
    <w:p w14:paraId="031E5D05" w14:textId="77777777" w:rsidR="00501FBF" w:rsidRDefault="00000000">
      <w:pPr>
        <w:pStyle w:val="BodyText"/>
      </w:pPr>
      <w:r>
        <w:t>Tail risk (TR): A measure of the likelihood of extreme losses in the portfolio (this is similar to the concept of value-at-risk or VaR; we will also introduce the concept of conditional VaR or CVaR, which is sometimes referred to as expected shortfall). Tail risk corresponds to the area of the portfolio loss distribution from which we typically calculate economic capital.</w:t>
      </w:r>
    </w:p>
    <w:p w14:paraId="3EE332A0" w14:textId="6E56ED01" w:rsidR="00501FBF" w:rsidRDefault="00000000">
      <w:pPr>
        <w:pStyle w:val="BodyText"/>
      </w:pPr>
      <w:r>
        <w:t xml:space="preserve">See </w:t>
      </w:r>
      <w:hyperlink r:id="rId7" w:history="1">
        <w:r w:rsidRPr="003E72D3">
          <w:rPr>
            <w:rStyle w:val="Hyperlink"/>
          </w:rPr>
          <w:t>https://drive.google.com/drive/u/2/folders/1Pkly9RjGvqbcMJmWXFl5o6tFaOY1d5CS</w:t>
        </w:r>
      </w:hyperlink>
    </w:p>
    <w:p w14:paraId="2D1A0B9B" w14:textId="77777777" w:rsidR="00501FBF" w:rsidRDefault="00000000">
      <w:pPr>
        <w:pStyle w:val="BodyText"/>
      </w:pPr>
      <w:r>
        <w:t>We complete this section on the definitions of statistical risks with their application to asset allocation in a portfolio.</w:t>
      </w:r>
    </w:p>
    <w:p w14:paraId="76A4940D" w14:textId="6C622728" w:rsidR="003E72D3" w:rsidRDefault="00000000" w:rsidP="003E72D3">
      <w:pPr>
        <w:pStyle w:val="BodyText"/>
      </w:pPr>
      <w:r>
        <w:t xml:space="preserve">If a portfolio consists of </w:t>
      </w:r>
      <m:oMath>
        <m:r>
          <w:rPr>
            <w:rFonts w:ascii="Cambria Math" w:hAnsi="Cambria Math"/>
          </w:rPr>
          <m:t>n</m:t>
        </m:r>
      </m:oMath>
      <w:r>
        <w:t xml:space="preserve"> stock and </w:t>
      </w:r>
      <m:oMath>
        <m:r>
          <w:rPr>
            <w:rFonts w:ascii="Cambria Math" w:hAnsi="Cambria Math"/>
          </w:rPr>
          <m:t>m</m:t>
        </m:r>
      </m:oMath>
      <w:r>
        <w:t xml:space="preserve"> returns, the return matrix for this portfolio </w:t>
      </w:r>
      <m:oMath>
        <m:sSub>
          <m:sSubPr>
            <m:ctrlPr>
              <w:rPr>
                <w:rFonts w:ascii="Cambria Math" w:hAnsi="Cambria Math"/>
              </w:rPr>
            </m:ctrlPr>
          </m:sSubPr>
          <m:e>
            <m:r>
              <w:rPr>
                <w:rFonts w:ascii="Cambria Math" w:hAnsi="Cambria Math"/>
              </w:rPr>
              <m:t>R</m:t>
            </m:r>
          </m:e>
          <m:sub>
            <m:r>
              <w:rPr>
                <w:rFonts w:ascii="Cambria Math" w:hAnsi="Cambria Math"/>
              </w:rPr>
              <m:t>p</m:t>
            </m:r>
          </m:sub>
        </m:sSub>
      </m:oMath>
      <w:r>
        <w:t xml:space="preserve"> is calculated as follows.</w:t>
      </w:r>
    </w:p>
    <w:p w14:paraId="683FC32E" w14:textId="27BDAB97" w:rsidR="003E72D3" w:rsidRDefault="003E72D3">
      <w:pPr>
        <w:pStyle w:val="BodyText"/>
      </w:pPr>
      <w:r w:rsidRPr="003E72D3">
        <w:drawing>
          <wp:inline distT="0" distB="0" distL="0" distR="0" wp14:anchorId="46312A57" wp14:editId="5BE97F18">
            <wp:extent cx="2259106" cy="10298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9361" cy="1039121"/>
                    </a:xfrm>
                    <a:prstGeom prst="rect">
                      <a:avLst/>
                    </a:prstGeom>
                  </pic:spPr>
                </pic:pic>
              </a:graphicData>
            </a:graphic>
          </wp:inline>
        </w:drawing>
      </w:r>
    </w:p>
    <w:p w14:paraId="2E43A18F" w14:textId="77777777" w:rsidR="003E72D3" w:rsidRDefault="003E72D3">
      <w:pPr>
        <w:pStyle w:val="BodyText"/>
      </w:pPr>
    </w:p>
    <w:p w14:paraId="74F851C1" w14:textId="77777777" w:rsidR="00501FBF" w:rsidRDefault="00000000">
      <w:pPr>
        <w:pStyle w:val="BodyText"/>
      </w:pPr>
      <w:r>
        <w:t xml:space="preserve">As a result, the expected return of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stock is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given by</w:t>
      </w:r>
    </w:p>
    <w:p w14:paraId="75654DEC" w14:textId="77777777" w:rsidR="00501FBF" w:rsidRDefault="00000000">
      <w:pPr>
        <w:pStyle w:val="BodyText"/>
      </w:pPr>
      <m:oMathPara>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m</m:t>
              </m:r>
            </m:sub>
          </m:sSub>
        </m:oMath>
      </m:oMathPara>
    </w:p>
    <w:p w14:paraId="4A6B5DD4" w14:textId="77777777" w:rsidR="00501FBF" w:rsidRDefault="00000000">
      <w:pPr>
        <w:pStyle w:val="BodyText"/>
      </w:pP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is the weight or proportion of the portfolio that is made up of stock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Thus,</w:t>
      </w:r>
    </w:p>
    <w:p w14:paraId="13FB7B0A" w14:textId="77777777" w:rsidR="00501FBF" w:rsidRDefault="00000000">
      <w:pPr>
        <w:pStyle w:val="BodyText"/>
      </w:pPr>
      <m:oMathPara>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r>
            <m:rPr>
              <m:sty m:val="p"/>
            </m:rPr>
            <w:rPr>
              <w:rFonts w:ascii="Cambria Math" w:hAnsi="Cambria Math"/>
            </w:rPr>
            <m:t>=</m:t>
          </m:r>
          <m:r>
            <w:rPr>
              <w:rFonts w:ascii="Cambria Math" w:hAnsi="Cambria Math"/>
            </w:rPr>
            <m:t>1</m:t>
          </m:r>
        </m:oMath>
      </m:oMathPara>
    </w:p>
    <w:p w14:paraId="31ABED20" w14:textId="77777777" w:rsidR="00501FBF" w:rsidRDefault="00000000">
      <w:pPr>
        <w:pStyle w:val="BodyText"/>
      </w:pPr>
      <w:r>
        <w:t>Therefore, the weighted expected return of the portfolio is given by</w:t>
      </w:r>
    </w:p>
    <w:p w14:paraId="2BB4AAD6" w14:textId="77777777" w:rsidR="00501FBF" w:rsidRDefault="00000000">
      <w:pPr>
        <w:pStyle w:val="BodyText"/>
      </w:pPr>
      <m:oMathPara>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p</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oMath>
      </m:oMathPara>
    </w:p>
    <w:p w14:paraId="4D0A8EC9" w14:textId="77777777" w:rsidR="00501FBF" w:rsidRDefault="00000000">
      <w:pPr>
        <w:pStyle w:val="BodyText"/>
      </w:pPr>
      <w:r>
        <w:t>Similarly, the variance of the same portfolio is given by</w:t>
      </w:r>
    </w:p>
    <w:p w14:paraId="291493F5" w14:textId="77777777" w:rsidR="00501FBF" w:rsidRDefault="00000000">
      <w:pPr>
        <w:pStyle w:val="BodyText"/>
      </w:pPr>
      <m:oMathPara>
        <m:oMath>
          <m:sSubSup>
            <m:sSubSupPr>
              <m:ctrlPr>
                <w:rPr>
                  <w:rFonts w:ascii="Cambria Math" w:hAnsi="Cambria Math"/>
                </w:rPr>
              </m:ctrlPr>
            </m:sSubSupPr>
            <m:e>
              <m:r>
                <w:rPr>
                  <w:rFonts w:ascii="Cambria Math" w:hAnsi="Cambria Math"/>
                </w:rPr>
                <m:t>σ</m:t>
              </m:r>
            </m:e>
            <m:sub>
              <m:r>
                <w:rPr>
                  <w:rFonts w:ascii="Cambria Math" w:hAnsi="Cambria Math"/>
                </w:rPr>
                <m:t>p</m:t>
              </m:r>
            </m:sub>
            <m:sup>
              <m:r>
                <w:rPr>
                  <w:rFonts w:ascii="Cambria Math" w:hAnsi="Cambria Math"/>
                </w:rPr>
                <m:t>2</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e>
          </m:nary>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σ</m:t>
              </m:r>
            </m:e>
            <m:sub>
              <m:r>
                <w:rPr>
                  <w:rFonts w:ascii="Cambria Math" w:hAnsi="Cambria Math"/>
                </w:rPr>
                <m:t>i</m:t>
              </m:r>
            </m:sub>
          </m:sSub>
          <m:sSub>
            <m:sSubPr>
              <m:ctrlPr>
                <w:rPr>
                  <w:rFonts w:ascii="Cambria Math" w:hAnsi="Cambria Math"/>
                </w:rPr>
              </m:ctrlPr>
            </m:sSubPr>
            <m:e>
              <m:r>
                <w:rPr>
                  <w:rFonts w:ascii="Cambria Math" w:hAnsi="Cambria Math"/>
                </w:rPr>
                <m:t>σ</m:t>
              </m:r>
            </m:e>
            <m:sub>
              <m:r>
                <w:rPr>
                  <w:rFonts w:ascii="Cambria Math" w:hAnsi="Cambria Math"/>
                </w:rPr>
                <m:t>j</m:t>
              </m:r>
            </m:sub>
          </m:sSub>
          <m:sSub>
            <m:sSubPr>
              <m:ctrlPr>
                <w:rPr>
                  <w:rFonts w:ascii="Cambria Math" w:hAnsi="Cambria Math"/>
                </w:rPr>
              </m:ctrlPr>
            </m:sSubPr>
            <m:e>
              <m:r>
                <w:rPr>
                  <w:rFonts w:ascii="Cambria Math" w:hAnsi="Cambria Math"/>
                </w:rPr>
                <m:t>ρ</m:t>
              </m:r>
            </m:e>
            <m:sub>
              <m:r>
                <w:rPr>
                  <w:rFonts w:ascii="Cambria Math" w:hAnsi="Cambria Math"/>
                </w:rPr>
                <m:t>ij</m:t>
              </m:r>
            </m:sub>
          </m:sSub>
        </m:oMath>
      </m:oMathPara>
    </w:p>
    <w:p w14:paraId="157CD6CD" w14:textId="77777777" w:rsidR="00501FBF" w:rsidRDefault="00000000">
      <w:pPr>
        <w:pStyle w:val="BodyText"/>
      </w:pPr>
      <w:r>
        <w:t xml:space="preserve">where correlation coefficient defined above </w:t>
      </w:r>
      <m:oMath>
        <m:sSub>
          <m:sSubPr>
            <m:ctrlPr>
              <w:rPr>
                <w:rFonts w:ascii="Cambria Math" w:hAnsi="Cambria Math"/>
              </w:rPr>
            </m:ctrlPr>
          </m:sSubPr>
          <m:e>
            <m:r>
              <w:rPr>
                <w:rFonts w:ascii="Cambria Math" w:hAnsi="Cambria Math"/>
              </w:rPr>
              <m:t>ρ</m:t>
            </m:r>
          </m:e>
          <m:sub>
            <m:r>
              <w:rPr>
                <w:rFonts w:ascii="Cambria Math" w:hAnsi="Cambria Math"/>
              </w:rPr>
              <m:t>ij</m:t>
            </m:r>
          </m:sub>
        </m:sSub>
      </m:oMath>
      <w:r>
        <w:t xml:space="preserve"> = 1 for the same stock, ie </w:t>
      </w:r>
      <m:oMath>
        <m:r>
          <w:rPr>
            <w:rFonts w:ascii="Cambria Math" w:hAnsi="Cambria Math"/>
          </w:rPr>
          <m:t>i</m:t>
        </m:r>
        <m:r>
          <m:rPr>
            <m:sty m:val="p"/>
          </m:rPr>
          <w:rPr>
            <w:rFonts w:ascii="Cambria Math" w:hAnsi="Cambria Math"/>
          </w:rPr>
          <m:t>=</m:t>
        </m:r>
        <m:r>
          <w:rPr>
            <w:rFonts w:ascii="Cambria Math" w:hAnsi="Cambria Math"/>
          </w:rPr>
          <m:t>j</m:t>
        </m:r>
      </m:oMath>
    </w:p>
    <w:p w14:paraId="7149442C" w14:textId="77777777" w:rsidR="00501FBF" w:rsidRDefault="00000000">
      <w:pPr>
        <w:pStyle w:val="BodyText"/>
      </w:pPr>
      <w:r>
        <w:t xml:space="preserve">If the covariance of stock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and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is defined as</w:t>
      </w:r>
    </w:p>
    <w:p w14:paraId="22C933B0" w14:textId="77777777" w:rsidR="00501FBF" w:rsidRDefault="00000000">
      <w:pPr>
        <w:pStyle w:val="BodyText"/>
      </w:pPr>
      <m:oMathPara>
        <m:oMath>
          <m:r>
            <w:rPr>
              <w:rFonts w:ascii="Cambria Math" w:hAnsi="Cambria Math"/>
            </w:rPr>
            <w:lastRenderedPageBreak/>
            <m:t>co</m:t>
          </m:r>
          <m:sSub>
            <m:sSubPr>
              <m:ctrlPr>
                <w:rPr>
                  <w:rFonts w:ascii="Cambria Math" w:hAnsi="Cambria Math"/>
                </w:rPr>
              </m:ctrlPr>
            </m:sSubPr>
            <m:e>
              <m:r>
                <w:rPr>
                  <w:rFonts w:ascii="Cambria Math" w:hAnsi="Cambria Math"/>
                </w:rPr>
                <m:t>v</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sSub>
            <m:sSubPr>
              <m:ctrlPr>
                <w:rPr>
                  <w:rFonts w:ascii="Cambria Math" w:hAnsi="Cambria Math"/>
                </w:rPr>
              </m:ctrlPr>
            </m:sSubPr>
            <m:e>
              <m:r>
                <w:rPr>
                  <w:rFonts w:ascii="Cambria Math" w:hAnsi="Cambria Math"/>
                </w:rPr>
                <m:t>σ</m:t>
              </m:r>
            </m:e>
            <m:sub>
              <m:r>
                <w:rPr>
                  <w:rFonts w:ascii="Cambria Math" w:hAnsi="Cambria Math"/>
                </w:rPr>
                <m:t>j</m:t>
              </m:r>
            </m:sub>
          </m:sSub>
          <m:sSub>
            <m:sSubPr>
              <m:ctrlPr>
                <w:rPr>
                  <w:rFonts w:ascii="Cambria Math" w:hAnsi="Cambria Math"/>
                </w:rPr>
              </m:ctrlPr>
            </m:sSubPr>
            <m:e>
              <m:r>
                <w:rPr>
                  <w:rFonts w:ascii="Cambria Math" w:hAnsi="Cambria Math"/>
                </w:rPr>
                <m:t>ρ</m:t>
              </m:r>
            </m:e>
            <m:sub>
              <m:r>
                <w:rPr>
                  <w:rFonts w:ascii="Cambria Math" w:hAnsi="Cambria Math"/>
                </w:rPr>
                <m:t>ij</m:t>
              </m:r>
            </m:sub>
          </m:sSub>
        </m:oMath>
      </m:oMathPara>
    </w:p>
    <w:p w14:paraId="1BD0A967" w14:textId="77777777" w:rsidR="00501FBF" w:rsidRDefault="00000000">
      <w:pPr>
        <w:pStyle w:val="BodyText"/>
      </w:pPr>
      <w:r>
        <w:t>then</w:t>
      </w:r>
    </w:p>
    <w:p w14:paraId="2EFF8C51" w14:textId="77777777" w:rsidR="00501FBF" w:rsidRDefault="00000000">
      <w:pPr>
        <w:pStyle w:val="BodyText"/>
      </w:pPr>
      <m:oMathPara>
        <m:oMath>
          <m:sSubSup>
            <m:sSubSupPr>
              <m:ctrlPr>
                <w:rPr>
                  <w:rFonts w:ascii="Cambria Math" w:hAnsi="Cambria Math"/>
                </w:rPr>
              </m:ctrlPr>
            </m:sSubSupPr>
            <m:e>
              <m:r>
                <w:rPr>
                  <w:rFonts w:ascii="Cambria Math" w:hAnsi="Cambria Math"/>
                </w:rPr>
                <m:t>σ</m:t>
              </m:r>
            </m:e>
            <m:sub>
              <m:r>
                <w:rPr>
                  <w:rFonts w:ascii="Cambria Math" w:hAnsi="Cambria Math"/>
                </w:rPr>
                <m:t>p</m:t>
              </m:r>
            </m:sub>
            <m:sup>
              <m:r>
                <w:rPr>
                  <w:rFonts w:ascii="Cambria Math" w:hAnsi="Cambria Math"/>
                </w:rPr>
                <m:t>2</m:t>
              </m:r>
            </m:sup>
          </m:sSubSup>
          <m:r>
            <m:rPr>
              <m:sty m:val="p"/>
            </m:rPr>
            <w:rPr>
              <w:rFonts w:ascii="Cambria Math" w:hAnsi="Cambria Math"/>
            </w:rPr>
            <m:t>=</m:t>
          </m:r>
          <m:r>
            <w:rPr>
              <w:rFonts w:ascii="Cambria Math" w:hAnsi="Cambria Math"/>
            </w:rPr>
            <m:t>W</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σ</m:t>
                      </m:r>
                    </m:e>
                    <m:sub>
                      <m:r>
                        <w:rPr>
                          <w:rFonts w:ascii="Cambria Math" w:hAnsi="Cambria Math"/>
                        </w:rPr>
                        <m:t>i</m:t>
                      </m:r>
                    </m:sub>
                  </m:sSub>
                </m:e>
              </m:nary>
            </m:e>
          </m:nary>
          <m:sSub>
            <m:sSubPr>
              <m:ctrlPr>
                <w:rPr>
                  <w:rFonts w:ascii="Cambria Math" w:hAnsi="Cambria Math"/>
                </w:rPr>
              </m:ctrlPr>
            </m:sSubPr>
            <m:e>
              <m:r>
                <w:rPr>
                  <w:rFonts w:ascii="Cambria Math" w:hAnsi="Cambria Math"/>
                </w:rPr>
                <m:t>σ</m:t>
              </m:r>
            </m:e>
            <m:sub>
              <m:r>
                <w:rPr>
                  <w:rFonts w:ascii="Cambria Math" w:hAnsi="Cambria Math"/>
                </w:rPr>
                <m:t>j</m:t>
              </m:r>
            </m:sub>
          </m:sSub>
          <m:sSub>
            <m:sSubPr>
              <m:ctrlPr>
                <w:rPr>
                  <w:rFonts w:ascii="Cambria Math" w:hAnsi="Cambria Math"/>
                </w:rPr>
              </m:ctrlPr>
            </m:sSubPr>
            <m:e>
              <m:r>
                <w:rPr>
                  <w:rFonts w:ascii="Cambria Math" w:hAnsi="Cambria Math"/>
                </w:rPr>
                <m:t>ρ</m:t>
              </m:r>
            </m:e>
            <m:sub>
              <m:r>
                <w:rPr>
                  <w:rFonts w:ascii="Cambria Math" w:hAnsi="Cambria Math"/>
                </w:rPr>
                <m:t>ij</m:t>
              </m:r>
            </m:sub>
          </m:sSub>
          <m:sSup>
            <m:sSupPr>
              <m:ctrlPr>
                <w:rPr>
                  <w:rFonts w:ascii="Cambria Math" w:hAnsi="Cambria Math"/>
                </w:rPr>
              </m:ctrlPr>
            </m:sSupPr>
            <m:e>
              <m:r>
                <w:rPr>
                  <w:rFonts w:ascii="Cambria Math" w:hAnsi="Cambria Math"/>
                </w:rPr>
                <m:t>W</m:t>
              </m:r>
            </m:e>
            <m:sup>
              <m:r>
                <w:rPr>
                  <w:rFonts w:ascii="Cambria Math" w:hAnsi="Cambria Math"/>
                </w:rPr>
                <m:t>T</m:t>
              </m:r>
            </m:sup>
          </m:sSup>
        </m:oMath>
      </m:oMathPara>
    </w:p>
    <w:p w14:paraId="1CB6C63C" w14:textId="77777777" w:rsidR="00501FBF" w:rsidRDefault="00000000">
      <w:pPr>
        <w:pStyle w:val="BodyText"/>
      </w:pPr>
      <w:r>
        <w:t xml:space="preserve">where </w:t>
      </w:r>
      <m:oMath>
        <m:r>
          <w:rPr>
            <w:rFonts w:ascii="Cambria Math" w:hAnsi="Cambria Math"/>
          </w:rPr>
          <m:t>W</m:t>
        </m:r>
      </m:oMath>
      <w:r>
        <w:t xml:space="preserve"> is the vector of weights </w:t>
      </w:r>
      <m:oMath>
        <m:r>
          <w:rPr>
            <w:rFonts w:ascii="Cambria Math" w:hAnsi="Cambria Math"/>
          </w:rPr>
          <m:t>w</m:t>
        </m:r>
      </m:oMath>
    </w:p>
    <w:p w14:paraId="2ADFB83A" w14:textId="77777777" w:rsidR="00501FBF" w:rsidRDefault="00000000">
      <w:pPr>
        <w:pStyle w:val="BodyText"/>
      </w:pPr>
      <m:oMathPara>
        <m:oMath>
          <m:r>
            <w:rPr>
              <w:rFonts w:ascii="Cambria Math" w:hAnsi="Cambria Math"/>
            </w:rPr>
            <m:t>W</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e>
          </m:d>
        </m:oMath>
      </m:oMathPara>
    </w:p>
    <w:p w14:paraId="63AB4709" w14:textId="77777777" w:rsidR="00501FBF" w:rsidRDefault="00000000">
      <w:pPr>
        <w:pStyle w:val="BodyText"/>
      </w:pPr>
      <m:oMathPara>
        <m:oMath>
          <m:r>
            <m:rPr>
              <m:scr m:val="double-struck"/>
              <m:sty m:val="p"/>
            </m:rPr>
            <w:rPr>
              <w:rFonts w:ascii="Cambria Math" w:hAnsi="Cambria Math"/>
            </w:rPr>
            <m:t>E</m:t>
          </m:r>
        </m:oMath>
      </m:oMathPara>
    </w:p>
    <w:p w14:paraId="3CD1066D" w14:textId="77777777" w:rsidR="00501FBF" w:rsidRDefault="00000000">
      <w:pPr>
        <w:pStyle w:val="BodyText"/>
      </w:pPr>
      <m:oMathPara>
        <m:oMath>
          <m:r>
            <m:rPr>
              <m:scr m:val="script"/>
              <m:sty m:val="p"/>
            </m:rPr>
            <w:rPr>
              <w:rFonts w:ascii="Cambria Math" w:hAnsi="Cambria Math"/>
            </w:rPr>
            <m:t>E</m:t>
          </m:r>
        </m:oMath>
      </m:oMathPara>
    </w:p>
    <w:p w14:paraId="39F05B7D" w14:textId="77777777" w:rsidR="00501FBF" w:rsidRDefault="00000000">
      <w:pPr>
        <w:pStyle w:val="BodyText"/>
      </w:pPr>
      <w:r>
        <w:t>Definitions:</w:t>
      </w:r>
    </w:p>
    <w:p w14:paraId="54F2A6B9" w14:textId="77777777" w:rsidR="00501FBF" w:rsidRDefault="00000000">
      <w:pPr>
        <w:pStyle w:val="Compact"/>
        <w:numPr>
          <w:ilvl w:val="0"/>
          <w:numId w:val="2"/>
        </w:numPr>
      </w:pPr>
      <w:r>
        <w:t>https://www.investopedia.com/terms/v/volatility.asp</w:t>
      </w:r>
    </w:p>
    <w:p w14:paraId="7BF2D8A7" w14:textId="77777777" w:rsidR="00501FBF" w:rsidRDefault="00000000">
      <w:pPr>
        <w:pStyle w:val="Compact"/>
        <w:numPr>
          <w:ilvl w:val="0"/>
          <w:numId w:val="2"/>
        </w:numPr>
      </w:pPr>
      <w:r>
        <w:t>https://www.investopedia.com/terms/s/standarddeviation.asp</w:t>
      </w:r>
    </w:p>
    <w:p w14:paraId="2E6E6984" w14:textId="77777777" w:rsidR="00501FBF" w:rsidRDefault="00000000">
      <w:pPr>
        <w:pStyle w:val="Compact"/>
        <w:numPr>
          <w:ilvl w:val="0"/>
          <w:numId w:val="2"/>
        </w:numPr>
      </w:pPr>
      <w:r>
        <w:t>https://www.investopedia.com/terms/v/variance.asp</w:t>
      </w:r>
    </w:p>
    <w:p w14:paraId="5CD2C7B1" w14:textId="77777777" w:rsidR="00501FBF" w:rsidRDefault="00000000">
      <w:pPr>
        <w:pStyle w:val="Compact"/>
        <w:numPr>
          <w:ilvl w:val="0"/>
          <w:numId w:val="2"/>
        </w:numPr>
      </w:pPr>
      <w:r>
        <w:t>https://www.investopedia.com/terms/c/correlation.asp</w:t>
      </w:r>
    </w:p>
    <w:p w14:paraId="1D43A9DE" w14:textId="77777777" w:rsidR="00501FBF" w:rsidRDefault="00000000">
      <w:pPr>
        <w:pStyle w:val="Compact"/>
        <w:numPr>
          <w:ilvl w:val="0"/>
          <w:numId w:val="2"/>
        </w:numPr>
      </w:pPr>
      <w:r>
        <w:t>https://www.investopedia.com/terms/r/risk.asp</w:t>
      </w:r>
    </w:p>
    <w:p w14:paraId="47D877F3" w14:textId="77777777" w:rsidR="00501FBF" w:rsidRDefault="00000000">
      <w:pPr>
        <w:pStyle w:val="Compact"/>
        <w:numPr>
          <w:ilvl w:val="0"/>
          <w:numId w:val="2"/>
        </w:numPr>
      </w:pPr>
      <w:r>
        <w:t>https://www.investopedia.com/terms/r/riskmeasures.asp</w:t>
      </w:r>
    </w:p>
    <w:p w14:paraId="567E77FF" w14:textId="77777777" w:rsidR="00501FBF" w:rsidRDefault="00000000">
      <w:pPr>
        <w:pStyle w:val="Compact"/>
        <w:numPr>
          <w:ilvl w:val="0"/>
          <w:numId w:val="2"/>
        </w:numPr>
      </w:pPr>
      <w:r>
        <w:t>https://www.investopedia.com/ask/answers/041415/what-are-some-common-measures-risk-used-risk-management.asp</w:t>
      </w:r>
    </w:p>
    <w:p w14:paraId="4CCE5FDB" w14:textId="77777777" w:rsidR="00501FBF" w:rsidRDefault="00000000">
      <w:pPr>
        <w:pStyle w:val="Compact"/>
        <w:numPr>
          <w:ilvl w:val="0"/>
          <w:numId w:val="2"/>
        </w:numPr>
      </w:pPr>
      <w:r>
        <w:t>https://www.investopedia.com/terms/m/modernportfoliotheory.asp</w:t>
      </w:r>
    </w:p>
    <w:p w14:paraId="244035D1" w14:textId="77777777" w:rsidR="00501FBF" w:rsidRDefault="00000000">
      <w:pPr>
        <w:pStyle w:val="Compact"/>
        <w:numPr>
          <w:ilvl w:val="0"/>
          <w:numId w:val="2"/>
        </w:numPr>
      </w:pPr>
      <w:r>
        <w:t>https://www.investopedia.com/terms/p/pmpt.asp</w:t>
      </w:r>
    </w:p>
    <w:p w14:paraId="4E5D63EC" w14:textId="77777777" w:rsidR="00501FBF" w:rsidRDefault="00000000">
      <w:pPr>
        <w:pStyle w:val="Compact"/>
        <w:numPr>
          <w:ilvl w:val="0"/>
          <w:numId w:val="2"/>
        </w:numPr>
      </w:pPr>
      <w:r>
        <w:t>https://www.investopedia.com/terms/s/semideviation.asp</w:t>
      </w:r>
    </w:p>
    <w:p w14:paraId="6FCF3C22" w14:textId="77777777" w:rsidR="00501FBF" w:rsidRDefault="00000000">
      <w:pPr>
        <w:pStyle w:val="Compact"/>
        <w:numPr>
          <w:ilvl w:val="0"/>
          <w:numId w:val="2"/>
        </w:numPr>
      </w:pPr>
      <w:r>
        <w:t>https://www.investopedia.com/terms/d/derivative.asp</w:t>
      </w:r>
    </w:p>
    <w:p w14:paraId="7C42D7AA" w14:textId="77777777" w:rsidR="00501FBF" w:rsidRDefault="00000000">
      <w:pPr>
        <w:pStyle w:val="Heading2"/>
      </w:pPr>
      <w:bookmarkStart w:id="1" w:name="illustrations-with-data"/>
      <w:bookmarkEnd w:id="0"/>
      <w:r>
        <w:t>ILLUSTRATIONS WITH DATA</w:t>
      </w:r>
    </w:p>
    <w:p w14:paraId="448D18A5" w14:textId="77777777" w:rsidR="005474F8" w:rsidRDefault="00000000">
      <w:pPr>
        <w:pStyle w:val="FirstParagraph"/>
      </w:pPr>
      <w:r>
        <w:t xml:space="preserve">Assets chosen for the illustration: </w:t>
      </w:r>
    </w:p>
    <w:p w14:paraId="6E4BCA0C" w14:textId="77777777" w:rsidR="005474F8" w:rsidRDefault="00000000">
      <w:pPr>
        <w:pStyle w:val="FirstParagraph"/>
      </w:pPr>
      <w:r>
        <w:t xml:space="preserve">1. West Texas Intermediate (WTI) — Cushing, Oklahoma (DCOILWTICO) </w:t>
      </w:r>
    </w:p>
    <w:p w14:paraId="60A59327" w14:textId="77777777" w:rsidR="005474F8" w:rsidRDefault="00000000">
      <w:pPr>
        <w:pStyle w:val="FirstParagraph"/>
      </w:pPr>
      <w:r>
        <w:t xml:space="preserve">2. S&amp;P 500 index </w:t>
      </w:r>
    </w:p>
    <w:p w14:paraId="2B588394" w14:textId="6C930EA4" w:rsidR="00501FBF" w:rsidRDefault="00000000">
      <w:pPr>
        <w:pStyle w:val="FirstParagraph"/>
      </w:pPr>
      <w:r>
        <w:t xml:space="preserve">3. US </w:t>
      </w:r>
      <w:proofErr w:type="gramStart"/>
      <w:r>
        <w:t>10 year</w:t>
      </w:r>
      <w:proofErr w:type="gramEnd"/>
      <w:r>
        <w:t xml:space="preserve"> Bond</w:t>
      </w:r>
    </w:p>
    <w:p w14:paraId="7DBC911D" w14:textId="77777777" w:rsidR="00501FBF" w:rsidRDefault="00000000">
      <w:pPr>
        <w:pStyle w:val="BodyText"/>
      </w:pPr>
      <w:r>
        <w:t>Timeline considered for the analysis: 10 years.</w:t>
      </w:r>
    </w:p>
    <w:p w14:paraId="46180942" w14:textId="77777777" w:rsidR="00501FBF" w:rsidRDefault="00000000">
      <w:pPr>
        <w:pStyle w:val="Heading3"/>
      </w:pPr>
      <w:bookmarkStart w:id="2" w:name="X994ff4b1ca5c7450f00815011457f92c72a40a8"/>
      <w:r>
        <w:t>Visualising the time series data of the 3 securities:</w:t>
      </w:r>
    </w:p>
    <w:p w14:paraId="23280F68" w14:textId="77777777" w:rsidR="00501FBF" w:rsidRDefault="00000000">
      <w:pPr>
        <w:pStyle w:val="FirstParagraph"/>
      </w:pPr>
      <w:r>
        <w:t>Crude Oil Prices: Brent - West Texas Intermediate</w:t>
      </w:r>
    </w:p>
    <w:bookmarkEnd w:id="1"/>
    <w:bookmarkEnd w:id="2"/>
    <w:p w14:paraId="214E0852" w14:textId="4B0B1676" w:rsidR="00501FBF" w:rsidRDefault="00501FBF">
      <w:pPr>
        <w:pStyle w:val="FirstParagraph"/>
      </w:pPr>
    </w:p>
    <w:sectPr w:rsidR="00501FB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D1317" w14:textId="77777777" w:rsidR="00680C00" w:rsidRDefault="00680C00">
      <w:pPr>
        <w:spacing w:after="0"/>
      </w:pPr>
      <w:r>
        <w:separator/>
      </w:r>
    </w:p>
  </w:endnote>
  <w:endnote w:type="continuationSeparator" w:id="0">
    <w:p w14:paraId="16835D9F" w14:textId="77777777" w:rsidR="00680C00" w:rsidRDefault="00680C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DB167" w14:textId="77777777" w:rsidR="00680C00" w:rsidRDefault="00680C00">
      <w:r>
        <w:separator/>
      </w:r>
    </w:p>
  </w:footnote>
  <w:footnote w:type="continuationSeparator" w:id="0">
    <w:p w14:paraId="69E38BA5" w14:textId="77777777" w:rsidR="00680C00" w:rsidRDefault="00680C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1E0DD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C5810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649821182">
    <w:abstractNumId w:val="0"/>
  </w:num>
  <w:num w:numId="2" w16cid:durableId="344480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1FBF"/>
    <w:rsid w:val="003E72D3"/>
    <w:rsid w:val="00501FBF"/>
    <w:rsid w:val="005474F8"/>
    <w:rsid w:val="00680C0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8ED813"/>
  <w15:docId w15:val="{28AF1307-8F3B-784F-BBC8-267E2C140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3E72D3"/>
    <w:rPr>
      <w:color w:val="605E5C"/>
      <w:shd w:val="clear" w:color="auto" w:fill="E1DFDD"/>
    </w:rPr>
  </w:style>
  <w:style w:type="character" w:styleId="PlaceholderText">
    <w:name w:val="Placeholder Text"/>
    <w:basedOn w:val="DefaultParagraphFont"/>
    <w:semiHidden/>
    <w:rsid w:val="003E72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616085">
      <w:bodyDiv w:val="1"/>
      <w:marLeft w:val="0"/>
      <w:marRight w:val="0"/>
      <w:marTop w:val="0"/>
      <w:marBottom w:val="0"/>
      <w:divBdr>
        <w:top w:val="none" w:sz="0" w:space="0" w:color="auto"/>
        <w:left w:val="none" w:sz="0" w:space="0" w:color="auto"/>
        <w:bottom w:val="none" w:sz="0" w:space="0" w:color="auto"/>
        <w:right w:val="none" w:sz="0" w:space="0" w:color="auto"/>
      </w:divBdr>
      <w:divsChild>
        <w:div w:id="240214578">
          <w:marLeft w:val="0"/>
          <w:marRight w:val="0"/>
          <w:marTop w:val="0"/>
          <w:marBottom w:val="0"/>
          <w:divBdr>
            <w:top w:val="none" w:sz="0" w:space="0" w:color="auto"/>
            <w:left w:val="none" w:sz="0" w:space="0" w:color="auto"/>
            <w:bottom w:val="none" w:sz="0" w:space="0" w:color="auto"/>
            <w:right w:val="none" w:sz="0" w:space="0" w:color="auto"/>
          </w:divBdr>
          <w:divsChild>
            <w:div w:id="1283225234">
              <w:marLeft w:val="0"/>
              <w:marRight w:val="0"/>
              <w:marTop w:val="0"/>
              <w:marBottom w:val="0"/>
              <w:divBdr>
                <w:top w:val="none" w:sz="0" w:space="0" w:color="auto"/>
                <w:left w:val="none" w:sz="0" w:space="0" w:color="auto"/>
                <w:bottom w:val="none" w:sz="0" w:space="0" w:color="auto"/>
                <w:right w:val="none" w:sz="0" w:space="0" w:color="auto"/>
              </w:divBdr>
            </w:div>
            <w:div w:id="2084256533">
              <w:marLeft w:val="0"/>
              <w:marRight w:val="0"/>
              <w:marTop w:val="0"/>
              <w:marBottom w:val="0"/>
              <w:divBdr>
                <w:top w:val="none" w:sz="0" w:space="0" w:color="auto"/>
                <w:left w:val="none" w:sz="0" w:space="0" w:color="auto"/>
                <w:bottom w:val="none" w:sz="0" w:space="0" w:color="auto"/>
                <w:right w:val="none" w:sz="0" w:space="0" w:color="auto"/>
              </w:divBdr>
            </w:div>
            <w:div w:id="518355127">
              <w:marLeft w:val="0"/>
              <w:marRight w:val="0"/>
              <w:marTop w:val="0"/>
              <w:marBottom w:val="0"/>
              <w:divBdr>
                <w:top w:val="none" w:sz="0" w:space="0" w:color="auto"/>
                <w:left w:val="none" w:sz="0" w:space="0" w:color="auto"/>
                <w:bottom w:val="none" w:sz="0" w:space="0" w:color="auto"/>
                <w:right w:val="none" w:sz="0" w:space="0" w:color="auto"/>
              </w:divBdr>
            </w:div>
            <w:div w:id="518618238">
              <w:marLeft w:val="0"/>
              <w:marRight w:val="0"/>
              <w:marTop w:val="0"/>
              <w:marBottom w:val="0"/>
              <w:divBdr>
                <w:top w:val="none" w:sz="0" w:space="0" w:color="auto"/>
                <w:left w:val="none" w:sz="0" w:space="0" w:color="auto"/>
                <w:bottom w:val="none" w:sz="0" w:space="0" w:color="auto"/>
                <w:right w:val="none" w:sz="0" w:space="0" w:color="auto"/>
              </w:divBdr>
            </w:div>
            <w:div w:id="495997259">
              <w:marLeft w:val="0"/>
              <w:marRight w:val="0"/>
              <w:marTop w:val="0"/>
              <w:marBottom w:val="0"/>
              <w:divBdr>
                <w:top w:val="none" w:sz="0" w:space="0" w:color="auto"/>
                <w:left w:val="none" w:sz="0" w:space="0" w:color="auto"/>
                <w:bottom w:val="none" w:sz="0" w:space="0" w:color="auto"/>
                <w:right w:val="none" w:sz="0" w:space="0" w:color="auto"/>
              </w:divBdr>
            </w:div>
            <w:div w:id="1521117028">
              <w:marLeft w:val="0"/>
              <w:marRight w:val="0"/>
              <w:marTop w:val="0"/>
              <w:marBottom w:val="0"/>
              <w:divBdr>
                <w:top w:val="none" w:sz="0" w:space="0" w:color="auto"/>
                <w:left w:val="none" w:sz="0" w:space="0" w:color="auto"/>
                <w:bottom w:val="none" w:sz="0" w:space="0" w:color="auto"/>
                <w:right w:val="none" w:sz="0" w:space="0" w:color="auto"/>
              </w:divBdr>
            </w:div>
            <w:div w:id="898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64774">
      <w:bodyDiv w:val="1"/>
      <w:marLeft w:val="0"/>
      <w:marRight w:val="0"/>
      <w:marTop w:val="0"/>
      <w:marBottom w:val="0"/>
      <w:divBdr>
        <w:top w:val="none" w:sz="0" w:space="0" w:color="auto"/>
        <w:left w:val="none" w:sz="0" w:space="0" w:color="auto"/>
        <w:bottom w:val="none" w:sz="0" w:space="0" w:color="auto"/>
        <w:right w:val="none" w:sz="0" w:space="0" w:color="auto"/>
      </w:divBdr>
      <w:divsChild>
        <w:div w:id="1953785399">
          <w:marLeft w:val="0"/>
          <w:marRight w:val="0"/>
          <w:marTop w:val="0"/>
          <w:marBottom w:val="0"/>
          <w:divBdr>
            <w:top w:val="none" w:sz="0" w:space="0" w:color="auto"/>
            <w:left w:val="none" w:sz="0" w:space="0" w:color="auto"/>
            <w:bottom w:val="none" w:sz="0" w:space="0" w:color="auto"/>
            <w:right w:val="none" w:sz="0" w:space="0" w:color="auto"/>
          </w:divBdr>
          <w:divsChild>
            <w:div w:id="476337453">
              <w:marLeft w:val="0"/>
              <w:marRight w:val="0"/>
              <w:marTop w:val="0"/>
              <w:marBottom w:val="0"/>
              <w:divBdr>
                <w:top w:val="none" w:sz="0" w:space="0" w:color="auto"/>
                <w:left w:val="none" w:sz="0" w:space="0" w:color="auto"/>
                <w:bottom w:val="none" w:sz="0" w:space="0" w:color="auto"/>
                <w:right w:val="none" w:sz="0" w:space="0" w:color="auto"/>
              </w:divBdr>
            </w:div>
            <w:div w:id="961152200">
              <w:marLeft w:val="0"/>
              <w:marRight w:val="0"/>
              <w:marTop w:val="0"/>
              <w:marBottom w:val="0"/>
              <w:divBdr>
                <w:top w:val="none" w:sz="0" w:space="0" w:color="auto"/>
                <w:left w:val="none" w:sz="0" w:space="0" w:color="auto"/>
                <w:bottom w:val="none" w:sz="0" w:space="0" w:color="auto"/>
                <w:right w:val="none" w:sz="0" w:space="0" w:color="auto"/>
              </w:divBdr>
            </w:div>
            <w:div w:id="18430516">
              <w:marLeft w:val="0"/>
              <w:marRight w:val="0"/>
              <w:marTop w:val="0"/>
              <w:marBottom w:val="0"/>
              <w:divBdr>
                <w:top w:val="none" w:sz="0" w:space="0" w:color="auto"/>
                <w:left w:val="none" w:sz="0" w:space="0" w:color="auto"/>
                <w:bottom w:val="none" w:sz="0" w:space="0" w:color="auto"/>
                <w:right w:val="none" w:sz="0" w:space="0" w:color="auto"/>
              </w:divBdr>
            </w:div>
            <w:div w:id="2001807810">
              <w:marLeft w:val="0"/>
              <w:marRight w:val="0"/>
              <w:marTop w:val="0"/>
              <w:marBottom w:val="0"/>
              <w:divBdr>
                <w:top w:val="none" w:sz="0" w:space="0" w:color="auto"/>
                <w:left w:val="none" w:sz="0" w:space="0" w:color="auto"/>
                <w:bottom w:val="none" w:sz="0" w:space="0" w:color="auto"/>
                <w:right w:val="none" w:sz="0" w:space="0" w:color="auto"/>
              </w:divBdr>
            </w:div>
            <w:div w:id="1779564">
              <w:marLeft w:val="0"/>
              <w:marRight w:val="0"/>
              <w:marTop w:val="0"/>
              <w:marBottom w:val="0"/>
              <w:divBdr>
                <w:top w:val="none" w:sz="0" w:space="0" w:color="auto"/>
                <w:left w:val="none" w:sz="0" w:space="0" w:color="auto"/>
                <w:bottom w:val="none" w:sz="0" w:space="0" w:color="auto"/>
                <w:right w:val="none" w:sz="0" w:space="0" w:color="auto"/>
              </w:divBdr>
            </w:div>
            <w:div w:id="1569681210">
              <w:marLeft w:val="0"/>
              <w:marRight w:val="0"/>
              <w:marTop w:val="0"/>
              <w:marBottom w:val="0"/>
              <w:divBdr>
                <w:top w:val="none" w:sz="0" w:space="0" w:color="auto"/>
                <w:left w:val="none" w:sz="0" w:space="0" w:color="auto"/>
                <w:bottom w:val="none" w:sz="0" w:space="0" w:color="auto"/>
                <w:right w:val="none" w:sz="0" w:space="0" w:color="auto"/>
              </w:divBdr>
            </w:div>
            <w:div w:id="1036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rive.google.com/drive/u/2/folders/1Pkly9RjGvqbcMJmWXFl5o6tFaOY1d5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Asish M</cp:lastModifiedBy>
  <cp:revision>3</cp:revision>
  <dcterms:created xsi:type="dcterms:W3CDTF">2022-09-17T19:41:00Z</dcterms:created>
  <dcterms:modified xsi:type="dcterms:W3CDTF">2022-09-17T19:46:00Z</dcterms:modified>
</cp:coreProperties>
</file>