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6600"/>
                <w:sz w:val="36"/>
              </w:rPr>
              <w:t>Metso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PROTOCOLO ARMADO DE HEAD Y BOWL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HB-2026050731503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EQUIPO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</w:t>
            </w:r>
          </w:p>
        </w:tc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SUPERVISOR METSO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</w:t>
            </w:r>
          </w:p>
        </w:tc>
      </w:tr>
      <w:tr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CLIENTE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SMCV</w:t>
            </w:r>
          </w:p>
        </w:tc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SUPERVISOR CLIENTE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sds</w:t>
            </w:r>
          </w:p>
        </w:tc>
      </w:tr>
      <w:tr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ID BOWL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</w:t>
            </w:r>
          </w:p>
        </w:tc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FECHA DE INICIO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2026-05-07</w:t>
            </w:r>
          </w:p>
        </w:tc>
      </w:tr>
      <w:tr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ID HEAD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</w:t>
            </w:r>
          </w:p>
        </w:tc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FECHA DE TERMINO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2026-05-07</w:t>
            </w:r>
          </w:p>
        </w:tc>
      </w:tr>
      <w:tr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HORA INICIO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3: 00</w:t>
            </w:r>
          </w:p>
        </w:tc>
        <w:tc>
          <w:tcPr>
            <w:tcW w:type="dxa" w:w="2493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HORA FIN</w:t>
            </w:r>
          </w:p>
        </w:tc>
        <w:tc>
          <w:tcPr>
            <w:tcW w:type="dxa" w:w="2493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17: 00</w:t>
            </w:r>
          </w:p>
        </w:tc>
      </w:tr>
    </w:tbl>
    <w:p/>
    <w:p>
      <w:pPr>
        <w:spacing w:before="160" w:after="80"/>
      </w:pPr>
      <w:r>
        <w:rPr>
          <w:b/>
          <w:color w:val="1A3A5C"/>
          <w:sz w:val="22"/>
        </w:rPr>
        <w:t>SECCIÓN 1 - HEAD</w:t>
      </w:r>
    </w:p>
    <w:p>
      <w:pPr>
        <w:spacing w:before="80" w:after="40"/>
      </w:pPr>
      <w:r>
        <w:rPr>
          <w:b/>
          <w:color w:val="FFFFFF"/>
          <w:sz w:val="20"/>
        </w:rPr>
        <w:t>INSPECCIÓN DE UPPER BUSHING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Realizar la inspección visual de la superficie del upper bushing (golpes, rayones, huellas, etc.)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adad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1.1.1. De encontrar desprendimiento de material, fisuras u otro similar aplicar NDT y evidenciar mediante imágenes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Inspeccionar el estado de las 4 chavetas y los 6 pernos M16 de fijación de cada una.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Verificar el Torque de los pernos a 260 N.m (192 Lb.ft), y evidenciar con el serial number de la herramienta.</w:t>
            </w:r>
          </w:p>
        </w:tc>
        <w:tc>
          <w:tcPr>
            <w:tcW w:type="dxa" w:w="1417"/>
            <w:shd w:val="clear" w:color="auto" w:fill="FFEBE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Malo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Verificar el estado del seguro alambre de los pernos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¿Requiere cambio de Upper Bushing?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jc w:val="center"/>
        <w:shd w:val="clear" w:color="auto" w:fill="28A745"/>
      </w:pPr>
      <w:r>
        <w:rPr>
          <w:b/>
          <w:color w:val="FFFFFF"/>
          <w:sz w:val="20"/>
        </w:rPr>
        <w:t xml:space="preserve">  NO REQUIERE CAMBIO (REALIZAR METROLOGÍA)  </w:t>
      </w:r>
    </w:p>
    <w:p>
      <w:r>
        <w:rPr>
          <w:b/>
          <w:color w:val="1A3A5C"/>
          <w:sz w:val="18"/>
        </w:rPr>
        <w:t>Control de Mediciones Upper Bushing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Punto</w:t>
            </w:r>
          </w:p>
        </w:tc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A (0°)</w:t>
            </w:r>
          </w:p>
        </w:tc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B (90°)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A1/B1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A2/B2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A3/B3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0387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per_bush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38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b/>
          <w:color w:val="FFFFFF"/>
          <w:sz w:val="20"/>
        </w:rPr>
        <w:t>INSPECCIÓN DE LOWER BUSHING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16. Realizar inspección visual de la superficie del lower bushing (golpes, rayones, huellas, etc.)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16.1. De encontrar desprendimiento de material, fisuras u otro similar aplicar NDT y evidenciar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17. Inspeccionar el estado de los 16 pernos de fijación M20 x 70 — 325 N.m (240 Lb.ft)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18. ¿Requiere cambio de Lower Bushing?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jc w:val="center"/>
        <w:shd w:val="clear" w:color="auto" w:fill="28A745"/>
      </w:pPr>
      <w:r>
        <w:rPr>
          <w:b/>
          <w:color w:val="FFFFFF"/>
          <w:sz w:val="20"/>
        </w:rPr>
        <w:t xml:space="preserve">  NO REQUIERE CAMBIO (REALIZAR METROLOGÍA)  </w:t>
      </w:r>
    </w:p>
    <w:p>
      <w:r>
        <w:rPr>
          <w:b/>
          <w:color w:val="1A3A5C"/>
          <w:sz w:val="18"/>
        </w:rPr>
        <w:t>Control de Mediciones Bocina de la Excéntrica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Punto</w:t>
            </w:r>
          </w:p>
        </w:tc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A (0°)</w:t>
            </w:r>
          </w:p>
        </w:tc>
        <w:tc>
          <w:tcPr>
            <w:tcW w:type="dxa" w:w="3324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B (90°)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A1/B1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A2/B2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A3/B3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A4/B4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A5/B5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18"/>
              </w:rPr>
              <w:t>A6/B6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33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4892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wer_bush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89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b/>
          <w:color w:val="FFFFFF"/>
          <w:sz w:val="20"/>
        </w:rPr>
        <w:t>HEAD BALL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28. Inspección visual de la superficie del Head Ball (golpes, rayones, huellas, etc.)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29. Inspeccionar estado de la cabeza de pernos de sujeción cuando el Head esté desarmado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30. ¿Requiere cambio de Head Ball?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jc w:val="center"/>
        <w:shd w:val="clear" w:color="auto" w:fill="28A745"/>
      </w:pPr>
      <w:r>
        <w:rPr>
          <w:b/>
          <w:color w:val="FFFFFF"/>
          <w:sz w:val="20"/>
        </w:rPr>
        <w:t xml:space="preserve">  NO REQUIERE CAMBIO  </w:t>
      </w:r>
    </w:p>
    <w:p>
      <w:pPr>
        <w:spacing w:before="80" w:after="40"/>
      </w:pPr>
      <w:r>
        <w:rPr>
          <w:b/>
          <w:color w:val="FFFFFF"/>
          <w:sz w:val="20"/>
        </w:rPr>
        <w:t>CARTER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34. Realizar inspección del carter superior (que no presente fisuras en su superficie)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35. Realizar inspección del carter inferior (que no presente fisuras en su superficie)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1415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41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b/>
          <w:color w:val="FFFFFF"/>
          <w:sz w:val="20"/>
        </w:rPr>
        <w:t>FEED 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36. Inspeccionar el estado del feed plate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37. ¿Requiere cambio Feed Plate?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Medida:  mm | Desgaste: % | Mín: 50mm | Nominal: 124mm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38. Verificar estado de los asientos de los pernos cortados salientes del Feed Plate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39. Realizar limpieza de la superficie del Head (amoladora)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40. Aplicar una capa de aceite la parte superior del Head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spacing w:before="80" w:after="40"/>
      </w:pPr>
      <w:r>
        <w:rPr>
          <w:b/>
          <w:color w:val="FFFFFF"/>
          <w:sz w:val="20"/>
        </w:rPr>
        <w:t>LOCKING NUT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41. Inspeccionar el estado del Locking Nut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42. Diámetro del Locking Nut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43. Verificar espaciamiento homogéneo entre Torch Ring y Locking Nut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44. Torque Inicial al 50%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45. Torque Inicial al 75%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46. Torque Inicial al 100%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46.1. Número de serie del torquímetro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47. GAP Final: 1.0 mm a 1.5 mm (Locking Nut - Torch Ring)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48. GAP Final: 0 a 0.25 mm (Manto Inferior y Head)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1436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king_n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43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b/>
          <w:color w:val="FFFFFF"/>
          <w:sz w:val="20"/>
        </w:rPr>
        <w:t>EPÓXICO Y BACKING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49. Cantidad requerida de epóxico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50. Fecha Vencimiento Catalizador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51. Fecha Vencimiento Epóxico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52. T° del batido sin catalizador (15°C - 20°C)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53. T° del batido con catalizador (24°C - 28°C)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spacing w:before="160" w:after="80"/>
      </w:pPr>
      <w:r>
        <w:rPr>
          <w:b/>
          <w:color w:val="1A3A5C"/>
          <w:sz w:val="22"/>
        </w:rPr>
        <w:t>SECCIÓN 2 - INSPECCIÓN DE BOWL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3402"/>
      </w:tblGrid>
      <w:tr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324"/>
            <w:shd w:val="clear" w:color="auto" w:fill="1A3A5C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54. Inspeccionar el estado del Hooper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55. Medida tomada al Hooper (mm)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56. Verificar estado de las roscas con peineta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57. Inspeccionar estado de conjuntos cuñas, tuercas esféricas y placas de bloqueo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58. Verificar estado del asiento del Bowl - Bowl Liner (fisuras)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58.1. Indicar medida de fisuras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58.2. Realizar prueba NDT e indicar observaciones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60. Verificar estado de anillo adaptador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61. Verificar el ajuste de las tuercas esféricas de los pernos cuña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62. Verificar estado de los hilos del Bowl (fisuras)</w:t>
            </w:r>
          </w:p>
        </w:tc>
        <w:tc>
          <w:tcPr>
            <w:tcW w:type="dxa" w:w="1417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Bueno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62.1. Medida de fisura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62.2. Realizar NDT e indicar observaciones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spacing w:before="160" w:after="80"/>
      </w:pPr>
      <w:r>
        <w:rPr>
          <w:b/>
          <w:color w:val="1A3A5C"/>
          <w:sz w:val="22"/>
        </w:rPr>
        <w:t>RECOMENDACIONES PARA LA SIGUIENTE INTERVENCIÓN</w:t>
      </w:r>
    </w:p>
    <w:p>
      <w:pPr>
        <w:spacing w:after="240"/>
      </w:pPr>
      <w:r>
        <w:t>sds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SUPERVISOR METSO</w:t>
            </w:r>
          </w:p>
        </w:tc>
        <w:tc>
          <w:tcPr>
            <w:tcW w:type="dxa" w:w="4986"/>
            <w:shd w:val="clear" w:color="auto" w:fill="E8F0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sz w:val="20"/>
              </w:rPr>
              <w:t>SUPERVISOR CLIENTE</w:t>
            </w:r>
          </w:p>
        </w:tc>
      </w:tr>
      <w:tr>
        <w:tc>
          <w:tcPr>
            <w:tcW w:type="dxa" w:w="49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</w:t>
            </w:r>
          </w:p>
        </w:tc>
        <w:tc>
          <w:tcPr>
            <w:tcW w:type="dxa" w:w="498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sds</w:t>
            </w:r>
          </w:p>
        </w:tc>
      </w:tr>
    </w:tbl>
    <w:p/>
    <w:p>
      <w:pPr>
        <w:jc w:val="right"/>
      </w:pPr>
      <w:r>
        <w:rPr>
          <w:color w:val="999999"/>
          <w:sz w:val="16"/>
        </w:rPr>
        <w:t>Reporte generado: 07/05/2026 16:17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29f98df-f7a9-4411-872c-04180796fb94}" enabled="1" method="Privileged" siteId="{5c5456f4-c402-40c5-a73d-e78777e7bf9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