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360" w:lineRule="auto"/>
        <w:jc w:val="both"/>
      </w:pPr>
      <w:r>
        <w:t xml:space="preserve">{{#titulo_acto}}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rPr>
          <w:b/>
          <w:bCs/>
        </w:rPr>
        <w:t xml:space="preserve">{{titulo_acto}}</w:t>
      </w:r>
      <w:r>
        <w:tab/>
      </w:r>
    </w:p>
    <w:p>
      <w:pPr>
        <w:spacing w:after="0" w:line="360" w:lineRule="auto"/>
        <w:jc w:val="both"/>
      </w:pPr>
      <w:r>
        <w:t xml:space="preserve">{{/titulo_acto}}</w:t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{{a.comparecencia}}, y {{a.manifesto}}: {{ord()}}: Que mediante escritura pública número {{a.inmueble.titulo_adquisicion_texto}}, inscrita al folio de matrícula inmobiliaria número {{a.inmueble.matricula}} en la Oficina de Registro de Instrumentos Públicos de {{a.inmueble.orip_ciudad}}, {{a.propietario | el:'señor'}} {{a.propietario.nombre}}, adquirió por {{a.inmueble.modo_y_tradente}}, el derecho de dominio y la posesión del inmueble identificado como {{a.inmueble.nombre_corto_mayus}}, ubicado en la {{a.inmueble.direccion}}, en {{a.inmueble.municipio_texto}}, determinado por su descripción, cabida, linderos, y demás especificaciones como aparece en la citada escritura pública. {{ord()}}: Que por la citada escritura pública número {{a.escritura_constitucion_corta}}, sobre el inmueble se constituyó PATRIMONIO DE FAMILIA INEMBARGABLE, así: “{{a.beneficiarios_cita}}”, gravamen que se inscribió al folio de matrícula inmobiliaria número {{a.inmueble.matricula}} en la Oficina de Registro de Instrumentos Públicos de {{a.inmueble.orip_ciudad}}.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Manifiesta {{a.propietario | el:'señor'}} {{a.propietario.nombre}}, que su estado civil es {{a.propietario.estado_civil}}, quien procreo {{a.hijos_texto}}, todo lo cual se acredita con los respectivos registros civiles de nacimiento, documentos que se adjuntan para su protocolización.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El Artículo 29 de la Ley 70 de 1931, establece que el PATRIMONIO DE FAMILIA INEMBARGABLE se extingue, volviendo el bien afectado a quedar sometido a las reglas del derecho común, cuando los comuneros lleguen a la mayoría de edad.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Que, en consecuencia, por esta escritura pública, {{a.propietario | el:'señor'}} {{a.propietario.nombre}}, procede a CANCELAR Y/O LEVANTAR EL PATRIMONIO DE FAMILIA, que grava el inmueble de su propiedad, identificado como {{a.inmueble.nombre_corto_mayus}}, ubicado en la {{a.inmueble.direccion}}, en {{a.inmueble.municipio_texto}}, cuya forma de adquisición, especificaciones y registro han quedado precisados en las cláusulas primera y segunda de la presente sección de este mismo instrumento público.</w:t>
      </w:r>
      <w:r>
        <w:tab/>
      </w:r>
    </w:p>
    <w:p>
      <w:pPr>
        <w:tabs>
          <w:tab w:val="right" w:leader="hyphen" w:pos="8894"/>
        </w:tabs>
        <w:spacing w:after="0" w:line="360" w:lineRule="auto"/>
        <w:jc w:val="both"/>
      </w:pPr>
      <w:r>
        <w:t xml:space="preserve">{{ord()}}: El(la)(los) compareciente(s) solicita(n) e insiste(n) al Notario en autorizar el presente instrumento público con el Certificado de Tradición y Libertad del folio de matrícula inmobiliaria número {{a.inmueble.matricula}} de fecha {{a.inmueble.fecha_certificado}}.</w:t>
      </w:r>
      <w:r>
        <w:tab/>
      </w:r>
    </w:p>
    <w:sectPr>
      <w:headerReference w:type="default" r:id="rIdEncabezado"/>
      <w:headerReference w:type="first" r:id="rIdEncabezadoPrimera"/>
      <w:pgSz w:w="12240" w:h="15840" w:code="1"/>
      <w:pgMar w:top="1871" w:right="1361" w:bottom="737" w:left="1985" w:header="709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</w:pPr>
    <w:r>
      <w:t xml:space="preserve">Hoja No.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Encabezado"/>
    </w:pP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  <w:lang w:val="es-CO" w:eastAsia="es-CO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Encabezado">
    <w:name w:val="header"/>
    <w:basedOn w:val="Normal"/>
    <w:pPr>
      <w:jc w:val="right"/>
    </w:pPr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Encabezado" Type="http://schemas.openxmlformats.org/officeDocument/2006/relationships/header" Target="header1.xml"/><Relationship Id="rIdEncabezadoPrimera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>
  <Application>Asistente de escrituración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cancelacion_patrimonio</dc:title>
  <dc:creator>Notaría Primera de Neiva – Asistente de escrituración</dc:creator>
  <dcterms:created xsi:type="dcterms:W3CDTF">2026-10-20T05:16:43Z</dcterms:created>
  <dcterms:modified xsi:type="dcterms:W3CDTF">2026-10-20T05:16:43Z</dcterms:modified>
</cp:coreProperties>
</file>