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{{a.comparecencia}}, y {{a.manifesto}}: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{{a.propietario | el:'señor'}} {{a.propietario.nombre}}, es {{a.propietario | sust:'propietario'}} del siguiente inmueble: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{{a.inmueble.descripcion_completa}}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MATRICULA INMOBILIARIA: {{a.inmueble.matricula}}. CEDULA CATASTRAL: {{a.inmueble.catastral}}{{#a.inmueble.involucrada}} (INVOLUCRADO){{/a.inmueble.involucrada}}.</w:t>
      </w:r>
      <w:r>
        <w:tab/>
      </w:r>
    </w:p>
    <w:p>
      <w:pPr>
        <w:spacing w:after="0" w:line="360" w:lineRule="auto"/>
        <w:jc w:val="both"/>
      </w:pPr>
      <w:r>
        <w:t xml:space="preserve">{{#a.inmueble.ph}}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PARAGRAFO. PROPIEDAD HORIZONTAL: {{a.inmueble.ph_texto}}</w:t>
      </w:r>
      <w:r>
        <w:tab/>
      </w:r>
    </w:p>
    <w:p>
      <w:pPr>
        <w:spacing w:after="0" w:line="360" w:lineRule="auto"/>
        <w:jc w:val="both"/>
      </w:pPr>
      <w:r>
        <w:t xml:space="preserve">{{/a.inmueble.ph}}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{{ord()}}. TRADICION: Que el inmueble fue adquirido por {{a.propietario | el:'señor'}} {{a.propietario.nombre}}, por {{a.inmueble.tradicion_texto}}, inscrita al folio de matrícula inmobiliaria número {{a.inmueble.matricula}} en la Oficina de Registro de Instrumentos Públicos de {{a.inmueble.orip_ciudad}}; e inscrita a la cedula catastral número {{a.inmueble.catastral_tradicion}}.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de conformidad con el Articulo 2 de la Ley 258 del 17 de Enero de 1996, modificada con la Ley 854 de 2003, los señores {{a.conyuges | nombres}}, por medio del presente instrumento público AFECTAN A VIVIENDA FAMILIAR, el inmueble precisado en la cláusula primera de la presente escritura pública.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El(la)(los) otorgante(s) manifiestan bajo la gravedad del juramento que en la actualidad no tienen ningún otro inmueble afectado a vivienda familiar.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El(la)(los) otorgante(s) solicita(n) e insiste(n) al Notario de autorizar el presente instrumento público con Certificado(s) de Tradición de fecha {{a.inmueble.fecha_certificado}}.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constitucion_afectacion</dc:title>
  <dc:creator>Notaría Primera de Neiva – Asistente de escrituración</dc:creator>
  <dcterms:created xsi:type="dcterms:W3CDTF">2026-10-20T05:16:44Z</dcterms:created>
  <dcterms:modified xsi:type="dcterms:W3CDTF">2026-10-20T05:16:44Z</dcterms:modified>
</cp:coreProperties>
</file>