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{{nombre_vendedor}} {{documento_vendedor}}</w:t>
      </w:r>
    </w:p>
    <w:p>
      <w:pPr>
        <w:spacing w:after="0" w:line="360" w:lineRule="auto"/>
        <w:jc w:val="left"/>
      </w:pPr>
      <w:r>
        <w:t xml:space="preserve">{{nombre_comprador}} {{documento_comprador}}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{{valor_venta_numeros}}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Compareció quien dijo ser, {{nombre_vendedor}}, mayor de edad, domiciliada en {{domicilio_vendedor}}, identificada con cedula de ciudadanía número {{documento_vendedor}} expedida en {{lugar_expedicion_vendedor}}, estado civil {{estado_civil_vendedor}}, actividad económica {{actividad_economica_vendedor}}, y manifestó:</w:t>
      </w:r>
      <w:r>
        <w:tab/>
      </w:r>
    </w:p>
    <w:p>
      <w:pPr>
        <w:tabs>
          <w:tab w:val="right" w:leader="hyphen" w:pos="8894"/>
        </w:tabs>
        <w:spacing w:after="0" w:line="360" w:lineRule="auto"/>
        <w:jc w:val="both"/>
      </w:pPr>
      <w:r>
        <w:t xml:space="preserve">PRIMERO: Que por este instrumento público transfiere en venta a quien dijo ser, {{nombre_comprador}}, mayor de edad, domiciliada en {{domicilio_comprador}}, identificada con cédula de ciudadanía número {{documento_comprador}} expedida en {{lugar_expedicion_comprador}}, estado civil {{estado_civil_comprador}}, actividad económica {{actividad_economica_comprador}}, el derecho de dominio y la posesión que tiene y ejerce sobre el siguiente inmueble:</w:t>
      </w:r>
      <w:r>
        <w:tab/>
      </w:r>
    </w:p>
    <w:p>
      <w:pPr>
        <w:tabs>
          <w:tab w:val="right" w:leader="hyphen" w:pos="8894"/>
        </w:tabs>
        <w:spacing w:after="0" w:line="360" w:lineRule="auto"/>
        <w:jc w:val="both"/>
      </w:pPr>
      <w:r>
        <w:t xml:space="preserve">Lote de terreno ubicado en la {{direccion_inmueble}}, en la ciudad de {{municipio_inmueble}}, Departamento del {{departamento_inmueble}}, con área de {{area_terreno_letras}} ({{area_terreno_numeros}} M2), junto con la casa de habitación que allí existe con área de construcción de {{area_construida_letras}} ({{area_construida_numeros}} M2), {{descripcion_construccion}},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PARAGRAFO: No obstante, la mención del área y los linderos precisados, la venta se hace como cuerpo cierto.</w:t>
      </w:r>
      <w:r>
        <w:tab/>
      </w:r>
    </w:p>
    <w:p>
      <w:pPr>
        <w:tabs>
          <w:tab w:val="right" w:leader="hyphen" w:pos="8894"/>
        </w:tabs>
        <w:spacing w:after="0" w:line="360" w:lineRule="auto"/>
        <w:jc w:val="both"/>
      </w:pPr>
      <w:r>
        <w:t xml:space="preserve">SEGUNDO. TRADICIÓN: Que el inmueble fue adquirido por la vendedora siendo de estado civil {{estado_civil_vendedor_al_adquirir}},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e inscrita a la cedula catastral número {{cedula_catastral_paz_y_salvo}}.</w:t>
      </w:r>
      <w:r>
        <w:tab/>
      </w:r>
    </w:p>
    <w:p>
      <w:pPr>
        <w:tabs>
          <w:tab w:val="right" w:leader="hyphen" w:pos="8894"/>
        </w:tabs>
        <w:spacing w:after="0" w:line="360" w:lineRule="auto"/>
        <w:jc w:val="both"/>
      </w:pPr>
      <w:r>
        <w:t xml:space="preserve">TERCERO: Que el valor de la venta es por la suma de {{valor_venta_letras}} ({{valor_venta_numeros}}), suma que la vendedora manifiesta haber recibido en su totalidad a entera satisfacción de manos de la compradora.</w:t>
      </w:r>
      <w:r>
        <w:tab/>
      </w:r>
    </w:p>
    <w:p>
      <w:pPr>
        <w:tabs>
          <w:tab w:val="right" w:leader="hyphen" w:pos="8894"/>
        </w:tabs>
        <w:spacing w:after="0" w:line="360" w:lineRule="auto"/>
        <w:jc w:val="both"/>
      </w:pPr>
      <w:r>
        <w:t xml:space="preserve">PARAGRAFO: Las otorgantes de manera libre y espontanea declaramos bajo la gravedad de juramento que conocemos el texto y alcance del Artículo 61 de la Ley 2010 del 27 de Diciembre de 2019, que se entiende prestado por el sólo hecho de la firma y manifestaron: 1. Que el precio incluido en la presente escritura de compraventa es real y no ha sido objeto de pactos privados en los que se señale un valor diferente. 2. Que no existen sumas que se hayan convenido o facturado por fuera de la misma. CUARTO: Garantiza la vendedora que el inmueble objeto de esta venta se encuentra libre de toda clase de gravámenes que puedan afectar su dominio, posesión y tenencia del mismo, tales como censo, hipoteca, embargo, anticresis, pleitos pendientes, demanda civil registrada, arrendamiento por escritura pública, patrimonio de familia inembargable, condiciones resolutorias, limitaciones del mismo y cualquier otro, y en general libre de todo gravamen, pero que en todo caso se obliga a salir al saneamiento de lo vendido conforme a la Ley.</w:t>
      </w:r>
      <w:r>
        <w:tab/>
      </w:r>
    </w:p>
    <w:p>
      <w:pPr>
        <w:tabs>
          <w:tab w:val="right" w:leader="hyphen" w:pos="8894"/>
        </w:tabs>
        <w:spacing w:after="0" w:line="360" w:lineRule="auto"/>
        <w:jc w:val="both"/>
      </w:pPr>
      <w:r>
        <w:t xml:space="preserve">QUINTO: Que el inmueble está libre por concepto de servicios públicos domiciliarios de agua, luz y alcantarillado (en caso que existan), hasta la fecha de otorgamiento de la presente escritura pública; tasas y contribuciones, impuestos nacionales, Departamentales y Municipales etc.</w:t>
      </w:r>
      <w:r>
        <w:tab/>
      </w:r>
    </w:p>
    <w:p>
      <w:pPr>
        <w:tabs>
          <w:tab w:val="right" w:leader="hyphen" w:pos="8894"/>
        </w:tabs>
        <w:spacing w:after="0" w:line="360" w:lineRule="auto"/>
        <w:jc w:val="both"/>
      </w:pPr>
      <w:r>
        <w:t xml:space="preserve">SEXTO: Que, desde el día de hoy, en su condición de vendedora hace entrega real y material a la compradora del inmueble objeto de venta, junto con todos sus usos, costumbres y servidumbres, que legalmente le corresponde, sin reserva ni limitación alguna y en el estado en que se encuentra.</w:t>
      </w:r>
      <w:r>
        <w:tab/>
      </w:r>
    </w:p>
    <w:p>
      <w:pPr>
        <w:tabs>
          <w:tab w:val="right" w:leader="hyphen" w:pos="8894"/>
        </w:tabs>
        <w:spacing w:after="0" w:line="360" w:lineRule="auto"/>
        <w:jc w:val="both"/>
      </w:pPr>
      <w:r>
        <w:t xml:space="preserve">SEPTIMO: La vendedora manifiesta que el inmueble que enajena no se encuentra afectado a vivienda familiar.</w:t>
      </w:r>
      <w:r>
        <w:tab/>
      </w:r>
    </w:p>
    <w:p>
      <w:pPr>
        <w:tabs>
          <w:tab w:val="right" w:leader="hyphen" w:pos="8894"/>
        </w:tabs>
        <w:spacing w:after="0" w:line="360" w:lineRule="auto"/>
        <w:jc w:val="both"/>
      </w:pPr>
      <w:r>
        <w:t xml:space="preserve">OCTAVO.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NOVENO: El(la)(los) compareciente(s) solicita(n) e insiste(n) al Notario en autorizar el presente instrumento público con el Certificado de Tradición y Libertad del folio de matrícula inmobiliaria número {{matricula_inmobiliaria}} de fecha {{fecha_certificado_tradicion}}.</w:t>
      </w:r>
      <w:r>
        <w:tab/>
      </w:r>
    </w:p>
    <w:p>
      <w:pPr>
        <w:tabs>
          <w:tab w:val="right" w:leader="hyphen" w:pos="8894"/>
        </w:tabs>
        <w:spacing w:after="0" w:line="360" w:lineRule="auto"/>
        <w:jc w:val="both"/>
      </w:pPr>
      <w:r>
        <w:t xml:space="preserve">Presente, {{nombre_comprador}}, de las condiciones civiles y personales ya enunciadas, y manifestó:</w:t>
      </w:r>
      <w:r>
        <w:tab/>
      </w:r>
    </w:p>
    <w:p>
      <w:pPr>
        <w:tabs>
          <w:tab w:val="right" w:leader="hyphen" w:pos="8894"/>
        </w:tabs>
        <w:spacing w:after="0" w:line="360" w:lineRule="auto"/>
        <w:jc w:val="both"/>
      </w:pPr>
      <w:r>
        <w:t xml:space="preserve">a. Que pagó el valor del inmueble y que acepta la presente escritura pública y la venta que en ella se hace por estar a su entera satisfacción y que está en posesión de lo aquí comprado por entrega real y material que le hiciera la vendedora. b. La compradora manifestó ser de estado civil {{estado_civil_comprador}}, razón por la cual no procede la AFECTACIÓN A VIVIENDA FAMILIAR de que trata la Ley 258 de 1996, reformada por la Ley 854 de 2003.</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{{cedula_catastral_paz_y_salvo}} expedidos por la Secretaría de Hacienda de Neiva (H),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 {{codigo_minuta}}.</w:t>
      </w:r>
      <w:r>
        <w:tab/>
      </w:r>
    </w:p>
    <w:p>
      <w:pPr>
        <w:spacing w:after="0" w:line="360" w:lineRule="auto"/>
      </w:pPr>
    </w:p>
    <w:p>
      <w:pPr>
        <w:spacing w:after="0" w:line="360" w:lineRule="auto"/>
        <w:jc w:val="left"/>
      </w:pPr>
      <w:r>
        <w:t xml:space="preserve">LAS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de inmueble (casa)</dc:title>
  <dc:creator>Notaría Primera de Neiva – Asistente de escrituración</dc:creator>
  <dcterms:created xsi:type="dcterms:W3CDTF">2026-10-20T05:00:40Z</dcterms:created>
  <dcterms:modified xsi:type="dcterms:W3CDTF">2026-10-20T05:00:40Z</dcterms:modified>
</cp:coreProperties>
</file>