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{{nombre_propietario}} {{documento_propietario}}</w:t>
      </w:r>
    </w:p>
    <w:p>
      <w:pPr>
        <w:spacing w:after="0" w:line="360" w:lineRule="auto"/>
        <w:jc w:val="left"/>
      </w:pPr>
      <w:r>
        <w:t xml:space="preserve">{{nombre_conyuge}} {{documento_conyuge}}</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AFECTACION A VIVIENDA FAMILIAR SIN CUANTIA</w:t>
      </w:r>
    </w:p>
    <w:p>
      <w:pPr>
        <w:tabs>
          <w:tab w:val="right" w:leader="hyphen" w:pos="8894"/>
        </w:tabs>
        <w:spacing w:after="0" w:line="360" w:lineRule="auto"/>
        <w:jc w:val="both"/>
      </w:pPr>
      <w:r>
        <w:t xml:space="preserve">MATRICULA INMOBILIARIA: {{matricula_inmobiliaria}}. CEDULA CATASTRAL: {{cedula_catastral}} (INVOLUCRADO).</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tabs>
          <w:tab w:val="right" w:leader="hyphen" w:pos="8894"/>
        </w:tabs>
        <w:spacing w:after="0" w:line="360" w:lineRule="auto"/>
        <w:jc w:val="both"/>
      </w:pPr>
      <w:r>
        <w:t xml:space="preserve">Comparecieron quienes dijeron ser, {{nombre_propietario}}, mayor de edad, domiciliada en {{domicilio_propietario}}, identificada con cédula de ciudadanía número {{documento_propietario}} expedida en {{lugar_expedicion_propietario}}, actualmente de estado civil {{estado_civil_propietario}}, actividad económica {{actividad_economica_propietario}} e {{nombre_conyuge}}, mayor de edad, domiciliado en {{domicilio_conyuge}}, identificado con cédula de ciudadanía número {{documento_conyuge}} expedida en {{lugar_expedicion_conyuge}}, actualmente de estado civil {{estado_civil_conyuge}}, actividad económica {{actividad_economica_conyuge}}, y manifestaron:</w:t>
      </w:r>
      <w:r>
        <w:tab/>
      </w:r>
    </w:p>
    <w:p>
      <w:pPr>
        <w:tabs>
          <w:tab w:val="right" w:leader="hyphen" w:pos="8894"/>
        </w:tabs>
        <w:spacing w:after="0" w:line="360" w:lineRule="auto"/>
        <w:jc w:val="both"/>
      </w:pPr>
      <w:r>
        <w:t xml:space="preserve">PRIMERO: Que la señora {{nombre_propietario}}, es propietaria del siguiente inmueble: {{descripcion_unidad_privada}}, ubicado en la {{direccion_inmueble}}, que hace parte del {{nombre_conjunto}}, en la ciudad de {{municipio_inmueble}}, Departamento del {{departamento_inmueble}}. {{areas_unidad_privada}}. LINDEROS: {{linderos}}</w:t>
      </w:r>
      <w:r>
        <w:tab/>
      </w:r>
    </w:p>
    <w:p>
      <w:pPr>
        <w:tabs>
          <w:tab w:val="right" w:leader="hyphen" w:pos="8894"/>
        </w:tabs>
        <w:spacing w:after="0" w:line="360" w:lineRule="auto"/>
        <w:jc w:val="both"/>
      </w:pPr>
      <w:r>
        <w:t xml:space="preserve">COEFICIENTE COPROPIEDAD: {{coeficiente_propiedad}}%.</w:t>
      </w:r>
      <w:r>
        <w:tab/>
      </w:r>
    </w:p>
    <w:p>
      <w:pPr>
        <w:tabs>
          <w:tab w:val="right" w:leader="hyphen" w:pos="8894"/>
        </w:tabs>
        <w:spacing w:after="0" w:line="360" w:lineRule="auto"/>
        <w:jc w:val="both"/>
      </w:pPr>
      <w:r>
        <w:t xml:space="preserve">MATRICULA INMOBILIARIA: {{matricula_inmobiliaria}}. CEDULA CATASTRAL: {{cedula_catastral}} (INVOLUCRADO).</w:t>
      </w:r>
      <w:r>
        <w:tab/>
      </w:r>
    </w:p>
    <w:p>
      <w:pPr>
        <w:tabs>
          <w:tab w:val="right" w:leader="hyphen" w:pos="8894"/>
        </w:tabs>
        <w:spacing w:after="0" w:line="360" w:lineRule="auto"/>
        <w:jc w:val="both"/>
      </w:pPr>
      <w:r>
        <w:t xml:space="preserve">PARAGRAFO PRIMERO. LINDEROS GENERALES: El {{nombre_conjunto}}, se encuentra ubicado en la {{direccion_conjunto}}, en la ciudad de {{municipio_inmueble}}, Departamento del {{departamento_inmueble}}, construido sobre un lote de terreno con área de {{area_lote_conjunto_letras}} ({{area_lote_conjunto_numeros}} M2), determinado por los siguientes linderos: {{linderos_generales}}</w:t>
      </w:r>
      <w:r>
        <w:tab/>
      </w:r>
    </w:p>
    <w:p>
      <w:pPr>
        <w:tabs>
          <w:tab w:val="right" w:leader="hyphen" w:pos="8894"/>
        </w:tabs>
        <w:spacing w:after="0" w:line="360" w:lineRule="auto"/>
        <w:jc w:val="both"/>
      </w:pPr>
      <w:r>
        <w:t xml:space="preserve">PARAGRAFO TERCERO. PROPIEDAD HORIZONTAL: El {{nombre_conjunto}}, se encuentra sometido al Régimen de Propiedad Horizontal mediante escritura pública número {{numero_escritura_reglamento_ph}} del {{fecha_escritura_reglamento_ph}}, otorgada en la {{notaria_reglamento_ph}}, inscrita al folio de matrícula inmobiliaria número {{matricula_inmobiliaria}} en la Oficina de Registro de Instrumentos Públicos de Neiva.</w:t>
      </w:r>
      <w:r>
        <w:tab/>
      </w:r>
    </w:p>
    <w:p>
      <w:pPr>
        <w:tabs>
          <w:tab w:val="right" w:leader="hyphen" w:pos="8894"/>
        </w:tabs>
        <w:spacing w:after="0" w:line="360" w:lineRule="auto"/>
        <w:jc w:val="both"/>
      </w:pPr>
      <w:r>
        <w:t xml:space="preserve">SEGUNDO. TRADICION: Que el inmueble fue adquirido por la señora {{nombre_propietario}}, por {{modo_adquisicion}} hecha a {{nombre_tradente_anterior}}, mediante escritura púbica número {{numero_escritura_antecedente}} del {{fecha_escritura_antecedente}}, otorgada en la {{notaria_escritura_antecedente}}, inscrita al folio de matrícula inmobiliaria número {{matricula_inmobiliaria}} en la Oficina de Registro de Instrumentos Públicos de Neiva; e inscrita a la cedula catastral número {{cedula_catastral}} de mayor extensión, y folio de matrícula inmobiliaria matriz número {{matricula_matriz}}. TERCERO: Que de conformidad con el Articulo 2 de la Ley 258 del 17 de Enero de 1996, modificada con la Ley 854 de 2003, los señores {{nombre_propietario}} e {{nombre_conyuge}}, por medio del presente instrumento público AFECTAN A VIVIENDA FAMILIAR, el inmueble precisado en la cláusula primera de la presente escritura pública.</w:t>
      </w:r>
      <w:r>
        <w:tab/>
      </w:r>
    </w:p>
    <w:p>
      <w:pPr>
        <w:tabs>
          <w:tab w:val="right" w:leader="hyphen" w:pos="8894"/>
        </w:tabs>
        <w:spacing w:after="0" w:line="360" w:lineRule="auto"/>
        <w:jc w:val="both"/>
      </w:pPr>
      <w:r>
        <w:t xml:space="preserve">CUARTO: El(la)(los) otorgante(s) manifiestan bajo la gravedad del juramento que en la actualidad no tienen ningún otro inmueble afectado a vivienda familiar.</w:t>
      </w:r>
      <w:r>
        <w:tab/>
      </w:r>
    </w:p>
    <w:p>
      <w:pPr>
        <w:tabs>
          <w:tab w:val="right" w:leader="hyphen" w:pos="8894"/>
        </w:tabs>
        <w:spacing w:after="0" w:line="360" w:lineRule="auto"/>
        <w:jc w:val="both"/>
      </w:pPr>
      <w:r>
        <w:t xml:space="preserve">QUINTO: El(la)(los) otorgante(s) solicita(n) e insiste(n) al Notario de autorizar el presente instrumento público con Certificado(s) de Tradición de fecha {{fecha_certificado_tradicion}}.</w:t>
      </w:r>
      <w:r>
        <w:tab/>
      </w:r>
    </w:p>
    <w:p>
      <w:pPr>
        <w:tabs>
          <w:tab w:val="right" w:leader="hyphen" w:pos="8894"/>
        </w:tabs>
        <w:spacing w:after="0" w:line="360" w:lineRule="auto"/>
        <w:jc w:val="both"/>
      </w:pPr>
      <w:r>
        <w:t xml:space="preserve">Se le agregan los comprobantes fiscales correspondientes cuyo texto es el del siguiente tenor: - Certificados de paz y salvos por concepto de predial unificado y valorización del predio inscrito en el catastro vigente bajo el número {{cedula_catastral}} expedidos por la Secretaría de Hacienda de Neiva (H), con vigencia hasta el {{vigencia_paz_y_salvo}}, en el cual consta que el referido inmueble tiene un avalúo de {{avaluo_catastral}}; cuya cédula catastral actualmente se encuentra involucrada en mayor extensión (Inciso 2 Art. 27 de la Ley 14 de 1983, Instrucción Administrativa 4 del 16 de Mayo de 2007 y Circular CIR-2025-000186-4 del 27 de Mayo 2025 de la SNR). Fotocopias de las cédulas de ciudadanía correspondientes.</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{{nombre_propietario}}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{{nombre_conyuge}}</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Constitución de afectación a vivienda familiar (cónyuges)</dc:title>
  <dc:creator>Notaría Primera de Neiva – Asistente de escrituración</dc:creator>
  <dcterms:created xsi:type="dcterms:W3CDTF">2026-10-20T05:00:40Z</dcterms:created>
  <dcterms:modified xsi:type="dcterms:W3CDTF">2026-10-20T05:00:40Z</dcterms:modified>
</cp:coreProperties>
</file>