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PÚBLICA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{{banco_acreedor}} NIT. {{nit_banco}}</w:t>
      </w:r>
    </w:p>
    <w:p>
      <w:pPr>
        <w:spacing w:after="0" w:line="360" w:lineRule="auto"/>
        <w:jc w:val="left"/>
      </w:pPr>
      <w:r>
        <w:t xml:space="preserve">REPRESENTADO POR {{nombre_apoderado_banco}} {{documento_apoderado_banco}}</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LIBERACION PARCIAL DE HIPOTECA {{valor_prorrata_numeros}}</w:t>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 (INVOLUCRADO).</w:t>
      </w:r>
      <w:r>
        <w:tab/>
      </w:r>
    </w:p>
    <w:p>
      <w:pPr>
        <w:tabs>
          <w:tab w:val="right" w:leader="hyphen" w:pos="8894"/>
        </w:tabs>
        <w:spacing w:after="0" w:line="360" w:lineRule="auto"/>
        <w:jc w:val="both"/>
      </w:pPr>
      <w:r>
        <w:t xml:space="preserve">NOMBRE O DIRECCION DEL INMUEBLE: {{direccion_inmueble}}.</w:t>
      </w:r>
      <w:r>
        <w:tab/>
      </w:r>
    </w:p>
    <w:p>
      <w:pPr>
        <w:tabs>
          <w:tab w:val="right" w:leader="hyphen" w:pos="8894"/>
        </w:tabs>
        <w:spacing w:after="0" w:line="360" w:lineRule="auto"/>
        <w:jc w:val="both"/>
      </w:pPr>
      <w:r>
        <w:t xml:space="preserve">En la ciudad de Neiva, Departamento del Huila, Republica de Colombia, a los {{dia_otorgamiento_letras}} ({{dia_otorgamiento}}) DÍAS del mes de {{mes_otorgamiento}} del año {{anio_otorgamiento_letras}} ({{anio_otorgamiento}}), en el CIRCULO NOTARIAL DE NEIVA, donde funciona la Notaria Primera cuyo notario titular en el ejercicio es el doctor {{nombre_notario}}.</w:t>
      </w:r>
      <w:r>
        <w:tab/>
      </w:r>
    </w:p>
    <w:p>
      <w:pPr>
        <w:spacing w:after="0" w:line="360" w:lineRule="auto"/>
        <w:jc w:val="center"/>
      </w:pPr>
      <w:r>
        <w:rPr>
          <w:b/>
          <w:bCs/>
        </w:rPr>
        <w:t xml:space="preserve">LIBERACION PARCIAL DE HIPOTECA</w:t>
      </w:r>
    </w:p>
    <w:p>
      <w:pPr>
        <w:tabs>
          <w:tab w:val="right" w:leader="hyphen" w:pos="8894"/>
        </w:tabs>
        <w:spacing w:after="0" w:line="360" w:lineRule="auto"/>
        <w:jc w:val="both"/>
      </w:pPr>
      <w:r>
        <w:t xml:space="preserve">Compareció quien dijo ser, {{nombre_apoderado_banco}}, mayor de edad, domiciliado en {{domicilio_apoderado_banco}}, identificado con cédula de ciudadanía número {{documento_apoderado_banco}} expedida en {{lugar_expedicion_apoderado_banco}}, quien obra en nombre y en representación del {{banco_acreedor}}, con NIT. {{nit_banco}}, establecimiento bancario con domicilio principal en {{domicilio_banco}}, en virtud del poder especial otorgado por el Suplente del Presidente y Representante Legal {{nombre_representante_banco}}, mayor de edad, domiciliado en {{domicilio_representante_banco}}, identificado con cedula de ciudadanía número {{documento_representante_banco}} expedida en {{lugar_expedicion_representante_banco}}, mediante escritura pública número {{escritura_poder}}, otorgada en la {{notaria_poder}}, junto con el certificado de vigencia, documentos que se adjuntan para su protocolización con esta escritura para que forme parte de ella y se inserte en las copias de que de la misma se expidan, y manifestó:</w:t>
      </w:r>
      <w:r>
        <w:tab/>
      </w:r>
    </w:p>
    <w:p>
      <w:pPr>
        <w:tabs>
          <w:tab w:val="right" w:leader="hyphen" w:pos="8894"/>
        </w:tabs>
        <w:spacing w:after="0" w:line="360" w:lineRule="auto"/>
        <w:jc w:val="both"/>
      </w:pPr>
      <w:r>
        <w:t xml:space="preserve">PRIMERO: Que mediante escritura pública número {{numero_escritura_hipoteca}} del {{fecha_escritura_hipoteca}}, otorgada en la {{notaria_escritura_hipoteca}}, inscrita al folio de matrícula inmobiliaria matriz número {{matricula_matriz}} en la Oficina de Registro de Instrumentos Públicos de Neiva, la {{constituyente_hipoteca}}, constituyó hipoteca abierta en primer grado sin límite de cuantía a favor del {{banco_acreedor}}, sobre el lote de mayor extensión. SEGUNDO: Que mediante escritura pública número {{numero_escritura_reglamento_ph}} del {{fecha_escritura_reglamento_ph}}, otorgada en la {{notaria_reglamento_ph}}, inscrita al folio de matrícula inmobiliaria número {{matricula_inmobiliaria}} en la Oficina de Registro de Instrumentos Públicos de Neiva, se constituyó reglamento de propiedad horizontal resultando entre otros, el folio objeto de la presente liberación.</w:t>
      </w:r>
      <w:r>
        <w:tab/>
      </w:r>
    </w:p>
    <w:p>
      <w:pPr>
        <w:tabs>
          <w:tab w:val="right" w:leader="hyphen" w:pos="8894"/>
        </w:tabs>
        <w:spacing w:after="0" w:line="360" w:lineRule="auto"/>
        <w:jc w:val="both"/>
      </w:pPr>
      <w:r>
        <w:t xml:space="preserve">TERCERO: Que en virtud de haber sido cubierto parcialmente el citado gravamen hipotecario, libera única y exclusivamente en cuanto hace relación al siguiente inmueble:</w:t>
      </w:r>
      <w:r>
        <w:tab/>
      </w:r>
    </w:p>
    <w:p>
      <w:pPr>
        <w:tabs>
          <w:tab w:val="right" w:leader="hyphen" w:pos="8894"/>
        </w:tabs>
        <w:spacing w:after="0" w:line="360" w:lineRule="auto"/>
        <w:jc w:val="both"/>
      </w:pPr>
      <w:r>
        <w:t xml:space="preserve">{{descripcion_unidad_privada}}, ubicado en la {{direccion_inmueble}}, en la ciudad de {{municipio_inmueble}}, Departamento del {{departamento_inmueble}}, identificado con folio de matrícula inmobiliaria número {{matricula_inmobiliaria}} en la Oficina de Registro de Instrumentos Públicos de Neiva.</w:t>
      </w:r>
      <w:r>
        <w:tab/>
      </w:r>
    </w:p>
    <w:p>
      <w:pPr>
        <w:tabs>
          <w:tab w:val="right" w:leader="hyphen" w:pos="8894"/>
        </w:tabs>
        <w:spacing w:after="0" w:line="360" w:lineRule="auto"/>
        <w:jc w:val="both"/>
      </w:pPr>
      <w:r>
        <w:t xml:space="preserve">CUARTO: Que la presente liberación parcial no implica modificación de las obligaciones contenidas en la escritura mencionada, continuando vigente y sin modificaciones la garantía hipotecaria a favor del {{banco_acreedor}} sobre los demás inmuebles hipotecados hasta la completa extinción de la obligación pendiente y en cuanto no hayan sido liberados expresamente de tal gravamen.</w:t>
      </w:r>
      <w:r>
        <w:tab/>
      </w:r>
    </w:p>
    <w:p>
      <w:pPr>
        <w:tabs>
          <w:tab w:val="right" w:leader="hyphen" w:pos="8894"/>
        </w:tabs>
        <w:spacing w:after="0" w:line="360" w:lineRule="auto"/>
        <w:jc w:val="both"/>
      </w:pPr>
      <w:r>
        <w:t xml:space="preserve">QUINTO: Que para efectos de determinar los derechos notariales y de registro de la presente liberación, al inmueble liberado se le asigna un valor de prorrata de {{valor_prorrata_letras}} ({{valor_prorrata_numeros}}), valor que corresponde únicamente a la proporción asignada para efectos de la liberación parcial del gravamen hipotecario de mayor extensión, sin perjuicio de la validación final que efectúe el {{banco_acreedor}} y/o la Notaría para efectos de liquidación de derechos.</w:t>
      </w:r>
      <w:r>
        <w:tab/>
      </w:r>
    </w:p>
    <w:p>
      <w:pPr>
        <w:tabs>
          <w:tab w:val="right" w:leader="hyphen" w:pos="8894"/>
        </w:tabs>
        <w:spacing w:after="0" w:line="360" w:lineRule="auto"/>
        <w:jc w:val="both"/>
      </w:pPr>
      <w:r>
        <w:t xml:space="preserve">Se le agregan los comprobantes fiscales correspondientes cuyo texto es el del siguiente tenor: Certificados de paz y salvos por concepto de predial unificado y valorización del predio inscrito en el catastro vigente bajo el número {{cedula_catastral}} expedidos por la Secretaría de Hacienda de Neiva (H), con vigencia hasta el {{vigencia_paz_y_salvo}}, en el cual consta que el referido inmueble tiene un avalúo de {{avaluo_catastral}}; cuya cédula catastral actualmente se encuentra involucrada en mayor extensión (Inciso 2 Art. 27 de la Ley 14 de 1983, Instrucción Administrativa 4 del 16 de Mayo de 2007 y Circular CIR-2025-000186-4 del 27 de Mayo 2025 de la SNR). Fotocopias de las cédulas de ciudadanía correspondientes.</w:t>
      </w:r>
      <w:r>
        <w:tab/>
      </w:r>
    </w:p>
    <w:p>
      <w:pPr>
        <w:tabs>
          <w:tab w:val="right" w:leader="hyphen" w:pos="8894"/>
        </w:tabs>
        <w:spacing w:after="0" w:line="360" w:lineRule="auto"/>
        <w:jc w:val="both"/>
      </w:pPr>
      <w:r>
        <w:t xml:space="preserve">- Certificado de Existencia y Representación Legal del {{banco_acreedor}}. -</w:t>
      </w:r>
      <w:r>
        <w:tab/>
      </w:r>
    </w:p>
    <w:p>
      <w:pPr>
        <w:tabs>
          <w:tab w:val="right" w:leader="hyphen" w:pos="8894"/>
        </w:tabs>
        <w:spacing w:after="0" w:line="360" w:lineRule="auto"/>
        <w:jc w:val="both"/>
      </w:pPr>
      <w:r>
        <w:t xml:space="preserve">- Escritura Poder Especial otorgado a {{nombre_apoderado_banco}}.</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tabs>
          <w:tab w:val="right" w:leader="hyphen" w:pos="8894"/>
        </w:tabs>
        <w:spacing w:after="0" w:line="360" w:lineRule="auto"/>
        <w:jc w:val="both"/>
      </w:pPr>
      <w:r>
        <w:t xml:space="preserve">ADVERTENCIA. El notario deja constancia que a los otorgantes se les advirtió sobre el contenido del texto y alcance del Artículo 61 de la Ley 2010 del 27 de Diciembre de 2019, y que conocen sus consecuencias. Así mismo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 Igualmente se advirtió a los otorgantes, que la hipoteca debe registrarse, en el término de los noventa (90) días hábiles siguientes a la fecha de otorgamiento de la presente escritura, y que, de no hacerlo en el término indicado, se deberá otorgar una nueva escritura, según circular número 70 de fecha Julio 22 de 2000, expedida por la Superintendencia de Notariado y Registro.</w:t>
      </w:r>
      <w:r>
        <w:tab/>
      </w:r>
    </w:p>
    <w:p>
      <w:pPr>
        <w:tabs>
          <w:tab w:val="right" w:leader="hyphen" w:pos="8894"/>
        </w:tabs>
        <w:spacing w:after="0" w:line="360" w:lineRule="auto"/>
        <w:jc w:val="both"/>
      </w:pPr>
      <w:r>
        <w:t xml:space="preserve">OTORGAMIENTO Y AUTORIZACION. Leído el presente instrumento por los otorgantes se hicieron las advertencias pertinentes y en especial la relacionada con la necesidad de inscribir la copia en el registro competente dentro del término de dos (2) meses siguientes a partir de la fecha de su otorgamiento (Art. 232 Ley 223 de 1995 y 14 del Decreto 650 de 1996), la aprueban y firman conmigo el suscrito Notario que lo autorizo y doy fe a los otorgantes se les advirtió finalmente que una vez firmado el presente instrumento el notario no aceptará correcciones o modificaciones sino en la forma y casos previstos por la ley.</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la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La presente escritura fue autorizada para otorgarse en diferentes momentos Art. 9 Decreto 2148/1983.</w:t>
      </w:r>
      <w:r>
        <w:tab/>
      </w:r>
    </w:p>
    <w:p>
      <w:pPr>
        <w:tabs>
          <w:tab w:val="right" w:leader="hyphen" w:pos="8894"/>
        </w:tabs>
        <w:spacing w:after="0" w:line="360" w:lineRule="auto"/>
        <w:jc w:val="both"/>
      </w:pPr>
      <w:r>
        <w:t xml:space="preserve">{{codigo_minuta}}.</w:t>
      </w:r>
      <w:r>
        <w:tab/>
      </w:r>
    </w:p>
    <w:p>
      <w:pPr>
        <w:spacing w:after="0" w:line="360" w:lineRule="auto"/>
      </w:pPr>
    </w:p>
    <w:p>
      <w:pPr>
        <w:spacing w:after="0" w:line="360" w:lineRule="auto"/>
        <w:jc w:val="left"/>
      </w:pPr>
      <w:r>
        <w:t xml:space="preserve">EL OTORGANTE,</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{{nombre_apoderado_banco}}</w:t>
      </w:r>
    </w:p>
    <w:p>
      <w:pPr>
        <w:spacing w:after="0" w:line="360" w:lineRule="auto"/>
        <w:jc w:val="left"/>
      </w:pPr>
      <w:r>
        <w:t xml:space="preserve">EN REPRESENTACION DEL {{banco_acreedor}}.</w:t>
      </w:r>
    </w:p>
    <w:p>
      <w:pPr>
        <w:spacing w:after="0" w:line="360" w:lineRule="auto"/>
        <w:jc w:val="left"/>
      </w:pPr>
      <w:r>
        <w:t xml:space="preserve">Firmada fuera del despacho notarial, Decreto 2148 de 1983, Artículo 12</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Liberación parcial de hipoteca de mayor extensión (por entidad bancaria)</dc:title>
  <dc:creator>Notaría Primera de Neiva – Asistente de escrituración</dc:creator>
  <dcterms:created xsi:type="dcterms:W3CDTF">2026-10-20T05:00:40Z</dcterms:created>
  <dcterms:modified xsi:type="dcterms:W3CDTF">2026-10-20T05:00:40Z</dcterms:modified>
</cp:coreProperties>
</file>