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t xml:space="preserve">Pourquoi l'espace de travail est un levier de performance humaine</w:t>
      </w:r>
    </w:p>
    <w:p>
      <w:pPr>
        <w:spacing w:after="200"/>
        <w:jc w:val="both"/>
      </w:pPr>
      <w:r>
        <w:rPr>
          <w:i/>
          <w:iCs/>
        </w:rPr>
        <w:t xml:space="preserve">Spaces That Matter — Blog &amp; Ressources</w:t>
      </w:r>
    </w:p>
    <w:p>
      <w:pPr>
        <w:spacing w:after="0"/>
      </w:pPr>
    </w:p>
    <w:p>
      <w:pPr>
        <w:spacing w:after="200"/>
        <w:jc w:val="both"/>
      </w:pPr>
      <w:r>
        <w:t xml:space="preserve">Il y a une idée reçue tenace dans le monde de l'immobilier de bureau : un beau bureau fait un bon bureau. On soigne l'esthétique, on choisit des matières nobles, on joue sur la lumière. Et l'on suppose que les collaborateurs, entourés de beau, travailleront mieux.</w:t>
      </w:r>
    </w:p>
    <w:p>
      <w:pPr>
        <w:spacing w:after="200"/>
        <w:jc w:val="both"/>
      </w:pPr>
      <w:r>
        <w:t xml:space="preserve">C'est partiellement vrai. Mais c'est surtout insuffisant.</w:t>
      </w:r>
    </w:p>
    <w:p>
      <w:pPr>
        <w:spacing w:after="200"/>
        <w:jc w:val="both"/>
      </w:pPr>
      <w:r>
        <w:t xml:space="preserve">Ce que les neurosciences et la psychologie environnementale ont mis en évidence depuis vingt ans, c'est que </w:t>
      </w:r>
      <w:r>
        <w:rPr>
          <w:b/>
          <w:bCs/>
        </w:rPr>
        <w:t xml:space="preserve">l'espace de travail agit directement sur le cerveau</w:t>
      </w:r>
      <w:r>
        <w:t xml:space="preserve"> — sur la concentration, sur la régulation émotionnelle, sur la fatigue cognitive, sur la motivation. Ces effets sont mesurables, reproductibles, et ils sont largement indépendants de l'esthétique du lieu.</w:t>
      </w:r>
    </w:p>
    <w:p>
      <w:pPr>
        <w:pStyle w:val="Heading2"/>
        <w:spacing w:after="160" w:before="360"/>
      </w:pPr>
      <w:r>
        <w:t xml:space="preserve">Ce que l'environnement fait au cerveau</w:t>
      </w:r>
    </w:p>
    <w:p>
      <w:pPr>
        <w:spacing w:after="200"/>
        <w:jc w:val="both"/>
      </w:pPr>
      <w:r>
        <w:t xml:space="preserve">Le cerveau humain est fondamentalement un organe d'adaptation. Il traite en permanence les signaux de son environnement (visuels, sonores, olfactifs, proprioceptifs) et ajuste le niveau d'alerte, la disponibilité cognitive et l'état émotionnel en conséquence.</w:t>
      </w:r>
    </w:p>
    <w:p>
      <w:pPr>
        <w:spacing w:after="200"/>
        <w:jc w:val="both"/>
      </w:pPr>
      <w:r>
        <w:t xml:space="preserve">Dans un environnement de travail, cela se traduit de façon très concrète.</w:t>
      </w:r>
    </w:p>
    <w:p>
      <w:pPr>
        <w:spacing w:after="200"/>
        <w:jc w:val="both"/>
      </w:pPr>
      <w:r>
        <w:rPr>
          <w:b/>
          <w:bCs/>
        </w:rPr>
        <w:t xml:space="preserve">Le bruit</w:t>
      </w:r>
      <w:r>
        <w:t xml:space="preserve"> est l'un des facteurs les plus documentés. Un niveau sonore élevé et imprévisible active le système nerveux sympathique et mobilise des ressources cognitives pour le simple filtrage des stimuli parasites, au détriment de la concentration profonde. Une méta-analyse publiée dans le </w:t>
      </w:r>
      <w:r>
        <w:rPr>
          <w:i/>
          <w:iCs/>
        </w:rPr>
        <w:t xml:space="preserve">Journal of Applied Psychology</w:t>
      </w:r>
      <w:r>
        <w:t xml:space="preserve"> (Evans &amp; Johnson, 2000) a montré que l'exposition au bruit de bureau augmente significativement le niveau de cortisol et réduit la motivation à accomplir des tâches complexes — même lorsque les sujets déclaraient s'y être « habitués ». Des recherches sur l'open space montrent que le bruit conversationnel intelligible est le type de bruit le plus perturbateur pour les tâches cognitives (Banbury &amp; Berry, 2005).</w:t>
      </w:r>
    </w:p>
    <w:p>
      <w:pPr>
        <w:spacing w:after="200"/>
        <w:jc w:val="both"/>
      </w:pPr>
      <w:r>
        <w:rPr>
          <w:b/>
          <w:bCs/>
        </w:rPr>
        <w:t xml:space="preserve">La lumière</w:t>
      </w:r>
      <w:r>
        <w:t xml:space="preserve"> joue un rôle tout aussi déterminant. Une étude publiée dans le </w:t>
      </w:r>
      <w:r>
        <w:rPr>
          <w:i/>
          <w:iCs/>
        </w:rPr>
        <w:t xml:space="preserve">Journal of Clinical Sleep Medicine</w:t>
      </w:r>
      <w:r>
        <w:t xml:space="preserve"> (Boubekri et al., 2014) a comparé des travailleurs exposés à la lumière naturelle à des collègues travaillant sans fenêtres : les premiers dormaient en moyenne 46 minutes de plus par nuit, rapportaient une meilleure qualité de vie et moins de symptômes dépressifs. Une lumière insuffisante ou trop artificielle perturbe les rythmes circadiens, réduit la production de sérotonine et accentue la fatigue en milieu de journée.</w:t>
      </w:r>
    </w:p>
    <w:p>
      <w:pPr>
        <w:spacing w:after="200"/>
        <w:jc w:val="both"/>
      </w:pPr>
      <w:r>
        <w:rPr>
          <w:b/>
          <w:bCs/>
        </w:rPr>
        <w:t xml:space="preserve">La densité et la surcharge sensorielle</w:t>
      </w:r>
      <w:r>
        <w:t xml:space="preserve"> constituent un troisième levier majeur. Des espaces trop denses génèrent une surcharge cognitive bien documentée. La Théorie de la Restauration de l'Attention, développée par Rachel et Stephen Kaplan dès 1989 à l'Université du Michigan, explique pourquoi : notre attention dirigée s'épuise et a besoin de périodes de récupération, possibles uniquement dans des environnements stimulant la </w:t>
      </w:r>
      <w:r>
        <w:rPr>
          <w:i/>
          <w:iCs/>
        </w:rPr>
        <w:t xml:space="preserve">fascination douce</w:t>
      </w:r>
      <w:r>
        <w:t xml:space="preserve"> — typiquement, la nature, les vues sur l'extérieur, les espaces aérés.</w:t>
      </w:r>
    </w:p>
    <w:p>
      <w:pPr>
        <w:spacing w:after="200"/>
        <w:jc w:val="both"/>
      </w:pPr>
      <w:r>
        <w:rPr>
          <w:b/>
          <w:bCs/>
        </w:rPr>
        <w:t xml:space="preserve">La végétation et la nature</w:t>
      </w:r>
      <w:r>
        <w:t xml:space="preserve"> ne sont pas de simples éléments décoratifs. Leur présence active le </w:t>
      </w:r>
      <w:r>
        <w:rPr>
          <w:i/>
          <w:iCs/>
        </w:rPr>
        <w:t xml:space="preserve">default mode network</w:t>
      </w:r>
      <w:r>
        <w:t xml:space="preserve">, ce réseau cérébral associé au repos attentif, à la créativité et à la consolidation mémorielle. Une étude d'Allen et al. (2016) a par ailleurs établi un lien direct entre la qualité de l'air intérieur et les scores de performance cognitive : doubler le taux de ventilation améliore significativement les fonctions exécutives et la prise de décision.</w:t>
      </w:r>
    </w:p>
    <w:p>
      <w:pPr>
        <w:pStyle w:val="Heading2"/>
        <w:spacing w:after="160" w:before="360"/>
      </w:pPr>
      <w:r>
        <w:t xml:space="preserve">La distinction fondamentale : environnement objectif et vécu subjectif</w:t>
      </w:r>
    </w:p>
    <w:p>
      <w:pPr>
        <w:spacing w:after="200"/>
        <w:jc w:val="both"/>
      </w:pPr>
      <w:r>
        <w:t xml:space="preserve">Voici l'un des enseignements les plus importants que nous ayons tirés de la construction du référentiel Spaces That Matter : </w:t>
      </w:r>
      <w:r>
        <w:rPr>
          <w:b/>
          <w:bCs/>
        </w:rPr>
        <w:t xml:space="preserve">l'espace objectif et l'espace vécu ne sont pas la même chose</w:t>
      </w:r>
      <w:r>
        <w:t xml:space="preserve">, et confondre les deux conduit à des investissements mal ciblés.</w:t>
      </w:r>
    </w:p>
    <w:p>
      <w:pPr>
        <w:spacing w:after="200"/>
        <w:jc w:val="both"/>
      </w:pPr>
      <w:r>
        <w:t xml:space="preserve">Un bureau peut afficher une excellente qualité d'air mesurée par des capteurs, un indice de lumière naturelle optimal selon les normes HQE, une acoustique conforme aux recommandations ISO, et tout de même être vécu comme oppressant, bruyant ou froid par ceux qui y travaillent chaque jour.</w:t>
      </w:r>
    </w:p>
    <w:p>
      <w:pPr>
        <w:spacing w:after="200"/>
        <w:jc w:val="both"/>
      </w:pPr>
      <w:r>
        <w:t xml:space="preserve">Pourquoi ? Parce que ce qui compte pour la performance humaine, c'est l'</w:t>
      </w:r>
      <w:r>
        <w:rPr>
          <w:b/>
          <w:bCs/>
        </w:rPr>
        <w:t xml:space="preserve">expérience subjective</w:t>
      </w:r>
      <w:r>
        <w:t xml:space="preserve"> de l'espace, pas ses caractéristiques techniques. Leaman &amp; Bordass (2007) ont montré que les occupants tolèrent mieux les imperfections environnementales lorsqu'ils ont le sentiment de contrôler leur environnement immédiat que lorsque l'espace est techniquement parfait mais subi. Ce sentiment de contrôle est un puissant modérateur du stress au travail (Leather et al., 1998).</w:t>
      </w:r>
    </w:p>
    <w:p>
      <w:pPr>
        <w:spacing w:after="200"/>
        <w:jc w:val="both"/>
      </w:pPr>
      <w:r>
        <w:t xml:space="preserve">L'expérience subjective est également façonnée par des facteurs que les certifications environnementales ne capturent pas : la qualité des interactions sociales dans l'espace, la cohérence perçue entre l'espace et la culture de l'organisation, et le sentiment d'appartenance que génère le lieu.</w:t>
      </w:r>
    </w:p>
    <w:p>
      <w:pPr>
        <w:pStyle w:val="Heading2"/>
        <w:spacing w:after="160" w:before="360"/>
      </w:pPr>
      <w:r>
        <w:t xml:space="preserve">Pourquoi les enquêtes classiques ne suffisent pas</w:t>
      </w:r>
    </w:p>
    <w:p>
      <w:pPr>
        <w:spacing w:after="200"/>
        <w:jc w:val="both"/>
      </w:pPr>
      <w:r>
        <w:t xml:space="preserve">Face à ce constat, les directions RH ont souvent recours aux enquêtes de satisfaction. C'est mieux que rien, mais insuffisant pour deux raisons structurelles.</w:t>
      </w:r>
    </w:p>
    <w:p>
      <w:pPr>
        <w:spacing w:after="200"/>
        <w:jc w:val="both"/>
      </w:pPr>
      <w:r>
        <w:t xml:space="preserve">D'abord, ces enquêtes souffrent d'un </w:t>
      </w:r>
      <w:r>
        <w:rPr>
          <w:b/>
          <w:bCs/>
        </w:rPr>
        <w:t xml:space="preserve">biais de comparaison</w:t>
      </w:r>
      <w:r>
        <w:t xml:space="preserve"> : les collaborateurs évaluent leur bureau par rapport à leur situation précédente ou à des représentations culturelles du « bon bureau », et non par rapport à ce que leur espace leur permet réellement de faire ou de ressentir. Ils s'adaptent, et cette adaptation masque des effets négatifs persistants sur leur performance et leur bien-être.</w:t>
      </w:r>
    </w:p>
    <w:p>
      <w:pPr>
        <w:spacing w:after="200"/>
        <w:jc w:val="both"/>
      </w:pPr>
      <w:r>
        <w:t xml:space="preserve">Ensuite, les questions posées sont rarement structurées pour capturer les différentes dimensions de la performance humaine. On demande « êtes-vous satisfait de votre bureau ? » plutôt que « dans quelle mesure votre espace vous permet-il de vous concentrer profondément ? » ou « votre environnement de travail reflète-t-il les valeurs de votre organisation ? » Ce sont des questions très différentes, qui appellent des réponses, et des actions très différentes.</w:t>
      </w:r>
    </w:p>
    <w:p>
      <w:pPr>
        <w:pStyle w:val="Heading2"/>
        <w:spacing w:after="160" w:before="360"/>
      </w:pPr>
      <w:r>
        <w:t xml:space="preserve">Les 8 dimensions de la performance humaine des espaces</w:t>
      </w:r>
    </w:p>
    <w:p>
      <w:pPr>
        <w:spacing w:after="200"/>
        <w:jc w:val="both"/>
      </w:pPr>
      <w:r>
        <w:t xml:space="preserve">C'est pour répondre à ce manque que Spaces That Matter a été construit, avec La Fabrique Spinoza, à partir de plus de 200 références scientifiques. Notre modèle structure la performance humaine des espaces autour de huit dimensions complémentaires :</w:t>
      </w:r>
    </w:p>
    <w:p>
      <w:pPr>
        <w:pStyle w:val="ListParagraph"/>
        <w:numPr>
          <w:ilvl w:val="0"/>
          <w:numId w:val="2"/>
        </w:numPr>
        <w:spacing w:after="120"/>
      </w:pPr>
      <w:r>
        <w:rPr>
          <w:b/>
          <w:bCs/>
        </w:rPr>
        <w:t xml:space="preserve">Dynamique relationnelle</w:t>
      </w:r>
      <w:r>
        <w:t xml:space="preserve"> — Dans quelle mesure l'espace favorise-t-il des interactions spontanées, variées et fluides entre les personnes, stimulant ainsi la vitalité collective ?</w:t>
      </w:r>
    </w:p>
    <w:p>
      <w:pPr>
        <w:pStyle w:val="ListParagraph"/>
        <w:numPr>
          <w:ilvl w:val="0"/>
          <w:numId w:val="2"/>
        </w:numPr>
        <w:spacing w:after="120"/>
      </w:pPr>
      <w:r>
        <w:rPr>
          <w:b/>
          <w:bCs/>
        </w:rPr>
        <w:t xml:space="preserve">Adaptabilité émotionnelle</w:t>
      </w:r>
      <w:r>
        <w:t xml:space="preserve"> — L'environnement de travail permet-il des transitions entre calme, stimulation et collaboration, selon les besoins émotionnels et cognitifs du moment ?</w:t>
      </w:r>
    </w:p>
    <w:p>
      <w:pPr>
        <w:pStyle w:val="ListParagraph"/>
        <w:numPr>
          <w:ilvl w:val="0"/>
          <w:numId w:val="2"/>
        </w:numPr>
        <w:spacing w:after="120"/>
      </w:pPr>
      <w:r>
        <w:rPr>
          <w:b/>
          <w:bCs/>
        </w:rPr>
        <w:t xml:space="preserve">Narration spatiale</w:t>
      </w:r>
      <w:r>
        <w:t xml:space="preserve"> — L'espace traduit-il de façon visible et vécue l'identité, les valeurs et la culture de l'organisation, ou reste-t-il muet sur ce qui la singularise ?</w:t>
      </w:r>
    </w:p>
    <w:p>
      <w:pPr>
        <w:pStyle w:val="ListParagraph"/>
        <w:numPr>
          <w:ilvl w:val="0"/>
          <w:numId w:val="2"/>
        </w:numPr>
        <w:spacing w:after="120"/>
      </w:pPr>
      <w:r>
        <w:rPr>
          <w:b/>
          <w:bCs/>
        </w:rPr>
        <w:t xml:space="preserve">Activation de l'engagement</w:t>
      </w:r>
      <w:r>
        <w:t xml:space="preserve"> — Comment l'espace incite-t-il à la participation active, à la prise d'initiative et à la coopération entre les membres d'une organisation ?</w:t>
      </w:r>
    </w:p>
    <w:p>
      <w:pPr>
        <w:pStyle w:val="ListParagraph"/>
        <w:numPr>
          <w:ilvl w:val="0"/>
          <w:numId w:val="2"/>
        </w:numPr>
        <w:spacing w:after="120"/>
      </w:pPr>
      <w:r>
        <w:rPr>
          <w:b/>
          <w:bCs/>
        </w:rPr>
        <w:t xml:space="preserve">Hybridation fluide</w:t>
      </w:r>
      <w:r>
        <w:t xml:space="preserve"> — Les lieux intègrent-ils harmonieusement les usages hybrides — présentiel et distanciel — en assurant équité, confort et continuité du travail pour tous ?</w:t>
      </w:r>
    </w:p>
    <w:p>
      <w:pPr>
        <w:pStyle w:val="ListParagraph"/>
        <w:numPr>
          <w:ilvl w:val="0"/>
          <w:numId w:val="2"/>
        </w:numPr>
        <w:spacing w:after="120"/>
      </w:pPr>
      <w:r>
        <w:rPr>
          <w:b/>
          <w:bCs/>
        </w:rPr>
        <w:t xml:space="preserve">Ouverture à l'extérieur</w:t>
      </w:r>
      <w:r>
        <w:t xml:space="preserve"> — L'espace favorise-t-il les liens avec les parties prenantes externes — clients, partenaires, territoire — en cultivant hospitalité, porosité et ancrage local ?</w:t>
      </w:r>
    </w:p>
    <w:p>
      <w:pPr>
        <w:pStyle w:val="ListParagraph"/>
        <w:numPr>
          <w:ilvl w:val="0"/>
          <w:numId w:val="2"/>
        </w:numPr>
        <w:spacing w:after="120"/>
      </w:pPr>
      <w:r>
        <w:rPr>
          <w:b/>
          <w:bCs/>
        </w:rPr>
        <w:t xml:space="preserve">Gouvernance spatiale</w:t>
      </w:r>
      <w:r>
        <w:t xml:space="preserve"> — De quelle manière l'aménagement des espaces influence-t-il l'inclusion des personnes et la qualité des relations — y compris hiérarchiques ?</w:t>
      </w:r>
    </w:p>
    <w:p>
      <w:pPr>
        <w:pStyle w:val="ListParagraph"/>
        <w:numPr>
          <w:ilvl w:val="0"/>
          <w:numId w:val="2"/>
        </w:numPr>
        <w:spacing w:after="120"/>
      </w:pPr>
      <w:r>
        <w:rPr>
          <w:b/>
          <w:bCs/>
        </w:rPr>
        <w:t xml:space="preserve">Intégration de la nature</w:t>
      </w:r>
      <w:r>
        <w:t xml:space="preserve"> — L'environnement de travail favorise-t-il une connexion sensible au vivant, par la présence de nature ou d'éléments sensoriels inspirés du monde naturel ?</w:t>
      </w:r>
    </w:p>
    <w:p>
      <w:pPr>
        <w:pStyle w:val="Heading2"/>
        <w:spacing w:after="160" w:before="360"/>
      </w:pPr>
      <w:r>
        <w:t xml:space="preserve">Ce que cela change pour les décideurs</w:t>
      </w:r>
    </w:p>
    <w:p>
      <w:pPr>
        <w:spacing w:after="200"/>
        <w:jc w:val="both"/>
      </w:pPr>
      <w:r>
        <w:t xml:space="preserve">La conséquence pratique pour les DRH, directeurs immobiliers et dirigeants est claire : </w:t>
      </w:r>
      <w:r>
        <w:rPr>
          <w:b/>
          <w:bCs/>
        </w:rPr>
        <w:t xml:space="preserve">un réaménagement de bureau sans mesure de l'expérience collaborateur n'est pas un investissement, c'est un pari</w:t>
      </w:r>
      <w:r>
        <w:t xml:space="preserve">.</w:t>
      </w:r>
    </w:p>
    <w:p>
      <w:pPr>
        <w:spacing w:after="200"/>
        <w:jc w:val="both"/>
      </w:pPr>
      <w:r>
        <w:t xml:space="preserve">Les organisations qui s'engagent dans la démarche Spaces That Matter ne font pas seulement un effort de communication. Elles se dotent d'une donnée structurée, scientifiquement fondée et participative sur la performance humaine réelle de leurs espaces. Cette donnée leur permet d'agir là où c'est nécessaire, et de valoriser ce qui fonctionne déjà.</w:t>
      </w:r>
    </w:p>
    <w:p>
      <w:pPr>
        <w:pBdr>
          <w:left w:val="single" w:color="C9A84C" w:sz="24" w:space="12"/>
        </w:pBdr>
        <w:spacing w:after="240" w:before="240"/>
        <w:ind w:left="720"/>
      </w:pPr>
      <w:r>
        <w:rPr>
          <w:i/>
          <w:iCs/>
        </w:rPr>
        <w:t xml:space="preserve">La bonne question n'est pas « comment est notre bureau ? » mais « qu'est-ce que notre bureau fait à nos collaborateurs ? »</w:t>
      </w:r>
    </w:p>
    <w:p>
      <w:pPr>
        <w:pStyle w:val="Heading2"/>
        <w:spacing w:after="160" w:before="360"/>
      </w:pPr>
      <w:r>
        <w:t xml:space="preserve">En conclusion</w:t>
      </w:r>
    </w:p>
    <w:p>
      <w:pPr>
        <w:spacing w:after="200"/>
        <w:jc w:val="both"/>
      </w:pPr>
      <w:r>
        <w:t xml:space="preserve">L'espace de travail n'est pas un décor. C'est une infrastructure de performance humaine. Et comme toute infrastructure, il mérite d'être évalué non pas à l'aune de son coût ou de son esthétique, mais à l'aune de ce qu'il produit réellement : engagement, concentration, bien-être, sentiment d'appartenance.</w:t>
      </w:r>
    </w:p>
    <w:p>
      <w:pPr>
        <w:spacing w:after="200"/>
        <w:jc w:val="both"/>
      </w:pPr>
      <w:r>
        <w:t xml:space="preserve">C'est la conviction qui a fondé Spaces That Matter. Et c'est ce que nous mesurons, rigoureusement et collaborativement, avec chaque organisation qui décide de se lancer dans cette démarche.</w:t>
      </w:r>
    </w:p>
    <w:p>
      <w:pPr>
        <w:pStyle w:val="Heading2"/>
        <w:spacing w:after="160" w:before="360"/>
      </w:pPr>
      <w:r>
        <w:t xml:space="preserve">Références de cet article</w:t>
      </w:r>
    </w:p>
    <w:p>
      <w:pPr>
        <w:pStyle w:val="ListParagraph"/>
        <w:numPr>
          <w:ilvl w:val="0"/>
          <w:numId w:val="1"/>
        </w:numPr>
        <w:spacing w:after="100"/>
      </w:pPr>
      <w:r>
        <w:t xml:space="preserve">Allen, J.G. et al. (2016). Associations of Cognitive Function Scores with Carbon Dioxide, Ventilation, and Volatile Organic Compound Exposures in Office Workers. Environmental Health Perspectives, 124(6), 805–812.</w:t>
      </w:r>
    </w:p>
    <w:p>
      <w:pPr>
        <w:pStyle w:val="ListParagraph"/>
        <w:numPr>
          <w:ilvl w:val="0"/>
          <w:numId w:val="1"/>
        </w:numPr>
        <w:spacing w:after="100"/>
      </w:pPr>
      <w:r>
        <w:t xml:space="preserve">Banbury, S. &amp; Berry, D.C. (2005). Office noise and employee concentration. Ergonomics, 48(1), 25–37.</w:t>
      </w:r>
    </w:p>
    <w:p>
      <w:pPr>
        <w:pStyle w:val="ListParagraph"/>
        <w:numPr>
          <w:ilvl w:val="0"/>
          <w:numId w:val="1"/>
        </w:numPr>
        <w:spacing w:after="100"/>
      </w:pPr>
      <w:r>
        <w:t xml:space="preserve">Boubekri, M. et al. (2014). Impact of Windows and Daylight Exposure on Overall Health and Sleep Quality of Office Workers. Journal of Clinical Sleep Medicine, 10(6), 603–611.</w:t>
      </w:r>
    </w:p>
    <w:p>
      <w:pPr>
        <w:pStyle w:val="ListParagraph"/>
        <w:numPr>
          <w:ilvl w:val="0"/>
          <w:numId w:val="1"/>
        </w:numPr>
        <w:spacing w:after="100"/>
      </w:pPr>
      <w:r>
        <w:t xml:space="preserve">Evans, G.W. &amp; Johnson, D. (2000). Stress and Open-Office Noise. Journal of Applied Psychology, 85(5), 779–783.</w:t>
      </w:r>
    </w:p>
    <w:p>
      <w:pPr>
        <w:pStyle w:val="ListParagraph"/>
        <w:numPr>
          <w:ilvl w:val="0"/>
          <w:numId w:val="1"/>
        </w:numPr>
        <w:spacing w:after="100"/>
      </w:pPr>
      <w:r>
        <w:t xml:space="preserve">Kaplan, R. &amp; Kaplan, S. (1989). The Experience of Nature: A Psychological Perspective. Cambridge University Press.</w:t>
      </w:r>
    </w:p>
    <w:p>
      <w:pPr>
        <w:pStyle w:val="ListParagraph"/>
        <w:numPr>
          <w:ilvl w:val="0"/>
          <w:numId w:val="1"/>
        </w:numPr>
        <w:spacing w:after="100"/>
      </w:pPr>
      <w:r>
        <w:t xml:space="preserve">Leather, P. et al. (1998). Windows in the workplace: Sunlight, view, and occupational stress. Environment and Behavior, 30(6), 739–762.</w:t>
      </w:r>
    </w:p>
    <w:p>
      <w:pPr>
        <w:pStyle w:val="ListParagraph"/>
        <w:numPr>
          <w:ilvl w:val="0"/>
          <w:numId w:val="1"/>
        </w:numPr>
        <w:spacing w:after="100"/>
      </w:pPr>
      <w:r>
        <w:t xml:space="preserve">Leaman, A. &amp; Bordass, B. (2007). Are users more tolerant of 'green' buildings? Building Research &amp; Information, 35(6), 662–673.</w:t>
      </w:r>
    </w:p>
    <w:p>
      <w:pPr>
        <w:pStyle w:val="ListParagraph"/>
        <w:numPr>
          <w:ilvl w:val="0"/>
          <w:numId w:val="1"/>
        </w:numPr>
        <w:spacing w:after="100"/>
      </w:pPr>
      <w:r>
        <w:t xml:space="preserve">Viola, A.U. et al. (2008). Blue-enriched white light in the workplace improves self-reported alertness, performance and sleep quality. Scandinavian Journal of Work, Environment &amp; Health, 34(4), 297–306.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2026-05-19T09:23:05.314Z</dcterms:created>
  <dcterms:modified xsi:type="dcterms:W3CDTF">2026-05-19T09:23:05.322Z</dcterms:modified>
</cp:coreProperties>
</file>

<file path=docProps/custom.xml><?xml version="1.0" encoding="utf-8"?>
<Properties xmlns="http://schemas.openxmlformats.org/officeDocument/2006/custom-properties" xmlns:vt="http://schemas.openxmlformats.org/officeDocument/2006/docPropsVTypes"/>
</file>