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</w:t>
      </w:r>
      <w:r>
        <w:t xml:space="preserve"> </w:t>
      </w:r>
      <w:r>
        <w:t xml:space="preserve">Формулировки цели для каждой лабораторной работы приведены в методических 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 лабораторным работам.</w:t>
      </w:r>
      <w:r>
        <w:t xml:space="preserve"> </w:t>
      </w:r>
      <w:r>
        <w:t xml:space="preserve">Модифицируя данный шаблон, студенты смогут без труда подготовить отчёт по лабораторным работам, а также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 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</w:t>
      </w:r>
      <w:r>
        <w:t xml:space="preserve"> </w:t>
      </w:r>
      <w:hyperlink w:anchor="tbl-std-dir">
        <w:r>
          <w:rPr>
            <w:rStyle w:val="Hyperlink"/>
          </w:rPr>
          <w:t xml:space="preserve">табл. 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22" w:name="tbl-std-dir"/>
    <w:p>
      <w:pPr>
        <w:pStyle w:val="TableCaption"/>
      </w:pPr>
      <w:r>
        <w:t xml:space="preserve">Таблица 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 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001"/>
          <w:p>
            <w:pPr>
              <w:jc w:val="center"/>
            </w:pPr>
            <w:r>
              <w:drawing>
                <wp:inline>
                  <wp:extent cx="3733800" cy="19389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/solvay.jp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38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V Сольвеевский конгресс (1927) «Электроны и фотоны»</w:t>
            </w:r>
          </w:p>
          <w:bookmarkEnd w:id="27"/>
        </w:tc>
      </w:tr>
    </w:tbl>
    <w:bookmarkEnd w:id="28"/>
    <w:bookmarkStart w:id="29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2025-10-26T18:31:19Z</dcterms:created>
  <dcterms:modified xsi:type="dcterms:W3CDTF">2025-10-26T18:31:19Z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