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jc w:val="center"/>
      </w:pPr>
      <w:r>
        <w:rPr>
          <w:rFonts w:ascii="Arial" w:cs="Arial" w:eastAsia="Arial" w:hAnsi="Arial"/>
          <w:b/>
          <w:bCs/>
          <w:color w:val="888888"/>
          <w:sz w:val="20"/>
          <w:szCs w:val="20"/>
        </w:rPr>
        <w:t xml:space="preserve">STRATEGIC PLAN</w:t>
      </w:r>
    </w:p>
    <w:p>
      <w:pPr>
        <w:spacing w:after="80"/>
      </w:pPr>
      <w:r>
        <w:t xml:space="preserve"/>
      </w:r>
    </w:p>
    <w:p>
      <w:pPr>
        <w:jc w:val="center"/>
      </w:pPr>
      <w:r>
        <w:rPr>
          <w:rFonts w:ascii="Arial" w:cs="Arial" w:eastAsia="Arial" w:hAnsi="Arial"/>
          <w:b/>
          <w:bCs/>
          <w:color w:val="1A2E5A"/>
          <w:sz w:val="52"/>
          <w:szCs w:val="52"/>
        </w:rPr>
        <w:t xml:space="preserve">Digital Banking Strategy</w:t>
      </w:r>
    </w:p>
    <w:p>
      <w:pPr>
        <w:spacing w:after="160"/>
        <w:jc w:val="center"/>
      </w:pPr>
      <w:r>
        <w:rPr>
          <w:rFonts w:ascii="Arial" w:cs="Arial" w:eastAsia="Arial" w:hAnsi="Arial"/>
          <w:b/>
          <w:bCs/>
          <w:color w:val="1A2E5A"/>
          <w:sz w:val="40"/>
          <w:szCs w:val="40"/>
        </w:rPr>
        <w:t xml:space="preserve">2026 – 2028</w:t>
      </w:r>
    </w:p>
    <w:p>
      <w:pPr>
        <w:jc w:val="center"/>
      </w:pPr>
      <w:r>
        <w:rPr>
          <w:rFonts w:ascii="Arial" w:cs="Arial" w:eastAsia="Arial" w:hAnsi="Arial"/>
          <w:color w:val="444444"/>
          <w:sz w:val="24"/>
          <w:szCs w:val="24"/>
        </w:rPr>
        <w:t xml:space="preserve">NexusAI Pilot Client | Digital Banking Division</w:t>
      </w:r>
    </w:p>
    <w:p>
      <w:pPr>
        <w:spacing w:after="80"/>
      </w:pPr>
      <w:r>
        <w:t xml:space="preserve"/>
      </w:r>
    </w:p>
    <w:p>
      <w:pPr>
        <w:jc w:val="center"/>
      </w:pPr>
      <w:r>
        <w:rPr>
          <w:rFonts w:ascii="Arial" w:cs="Arial" w:eastAsia="Arial" w:hAnsi="Arial"/>
          <w:color w:val="888888"/>
          <w:sz w:val="18"/>
          <w:szCs w:val="18"/>
        </w:rPr>
        <w:t xml:space="preserve">Version 2.1 | Approved by CEO | May 30, 2026</w:t>
      </w:r>
    </w:p>
    <w:p>
      <w:pPr>
        <w:jc w:val="center"/>
      </w:pPr>
      <w:r>
        <w:rPr>
          <w:rFonts w:ascii="Arial" w:cs="Arial" w:eastAsia="Arial" w:hAnsi="Arial"/>
          <w:color w:val="888888"/>
          <w:sz w:val="18"/>
          <w:szCs w:val="18"/>
        </w:rPr>
        <w:t xml:space="preserve">STRICTLY CONFIDENTIAL — Board and Executive Use Only</w:t>
      </w:r>
    </w:p>
    <w:p>
      <w:pPr>
        <w:spacing w:after="80"/>
      </w:pPr>
      <w:r>
        <w:t xml:space="preserve"/>
      </w:r>
    </w:p>
    <w:p>
      <w:pPr>
        <w:spacing w:after="80"/>
      </w:pPr>
      <w:r>
        <w:t xml:space="preserve"/>
      </w:r>
    </w:p>
    <w:p>
      <w:r>
        <w:br w:type="page"/>
      </w:r>
    </w:p>
    <w:p>
      <w:pPr>
        <w:pStyle w:val="Heading1"/>
        <w:spacing w:after="160" w:before="280"/>
      </w:pPr>
      <w:r>
        <w:rPr>
          <w:rFonts w:ascii="Arial" w:cs="Arial" w:eastAsia="Arial" w:hAnsi="Arial"/>
          <w:b/>
          <w:bCs/>
          <w:color w:val="1A2E5A"/>
          <w:sz w:val="32"/>
          <w:szCs w:val="32"/>
        </w:rPr>
        <w:t xml:space="preserve">1. Executive Summary</w:t>
      </w:r>
    </w:p>
    <w:p>
      <w:pPr>
        <w:spacing w:after="100"/>
        <w:jc w:val="both"/>
      </w:pPr>
      <w:r>
        <w:rPr>
          <w:rFonts w:ascii="Arial" w:cs="Arial" w:eastAsia="Arial" w:hAnsi="Arial"/>
          <w:sz w:val="20"/>
          <w:szCs w:val="20"/>
        </w:rPr>
        <w:t xml:space="preserve">This strategy document sets out the three-year plan for the Digital Banking Division for the period 2026–2028. The plan was developed by the Executive Committee and approved by the Board of Directors in May 2026. It supersedes the 2025–2027 strategy document and incorporates learnings from the GCC expansion assessment, the Q1 2026 performance review, and the regulatory environment update.</w:t>
      </w:r>
    </w:p>
    <w:p>
      <w:pPr>
        <w:spacing w:after="80"/>
      </w:pPr>
      <w:r>
        <w:t xml:space="preserve"/>
      </w:r>
    </w:p>
    <w:p>
      <w:pPr>
        <w:spacing w:after="100"/>
        <w:jc w:val="both"/>
      </w:pPr>
      <w:r>
        <w:rPr>
          <w:rFonts w:ascii="Arial" w:cs="Arial" w:eastAsia="Arial" w:hAnsi="Arial"/>
          <w:sz w:val="20"/>
          <w:szCs w:val="20"/>
        </w:rPr>
        <w:t xml:space="preserve">The strategy is built on three pillars: (1) deepening our domestic market position through superior digital experience and SME banking, (2) expanding into the GCC through a phased regulatory entry strategy beginning with UAE, and (3) building a technology platform that can scale to 10 million users while maintaining regulatory compliance across multiple jurisdictions.</w:t>
      </w:r>
    </w:p>
    <w:p>
      <w:pPr>
        <w:spacing w:after="80"/>
      </w:pPr>
      <w:r>
        <w:t xml:space="preserve"/>
      </w:r>
    </w:p>
    <w:p>
      <w:pPr>
        <w:spacing w:after="100"/>
      </w:pPr>
      <w:r>
        <w:rPr>
          <w:rFonts w:ascii="Arial" w:cs="Arial" w:eastAsia="Arial" w:hAnsi="Arial"/>
          <w:b/>
          <w:bCs/>
          <w:sz w:val="20"/>
          <w:szCs w:val="20"/>
        </w:rPr>
        <w:t xml:space="preserve">Three-year revenue target: </w:t>
      </w:r>
      <w:r>
        <w:rPr>
          <w:rFonts w:ascii="Arial" w:cs="Arial" w:eastAsia="Arial" w:hAnsi="Arial"/>
          <w:sz w:val="20"/>
          <w:szCs w:val="20"/>
        </w:rPr>
        <w:t xml:space="preserve">$72M by end of 2028 (from $72M current run-rate at $18.4M/quarter).</w:t>
      </w:r>
    </w:p>
    <w:p>
      <w:pPr>
        <w:spacing w:after="100"/>
      </w:pPr>
      <w:r>
        <w:rPr>
          <w:rFonts w:ascii="Arial" w:cs="Arial" w:eastAsia="Arial" w:hAnsi="Arial"/>
          <w:b/>
          <w:bCs/>
          <w:sz w:val="20"/>
          <w:szCs w:val="20"/>
        </w:rPr>
        <w:t xml:space="preserve">Primary growth engine: </w:t>
      </w:r>
      <w:r>
        <w:rPr>
          <w:rFonts w:ascii="Arial" w:cs="Arial" w:eastAsia="Arial" w:hAnsi="Arial"/>
          <w:sz w:val="20"/>
          <w:szCs w:val="20"/>
        </w:rPr>
        <w:t xml:space="preserve">GCC expansion (UAE launch Q4 2026, Saudi Arabia Q2 2027) contributing $18M by 2028.</w:t>
      </w:r>
    </w:p>
    <w:p>
      <w:pPr>
        <w:spacing w:after="100"/>
      </w:pPr>
      <w:r>
        <w:rPr>
          <w:rFonts w:ascii="Arial" w:cs="Arial" w:eastAsia="Arial" w:hAnsi="Arial"/>
          <w:b/>
          <w:bCs/>
          <w:sz w:val="20"/>
          <w:szCs w:val="20"/>
        </w:rPr>
        <w:t xml:space="preserve">Critical dependency: </w:t>
      </w:r>
      <w:r>
        <w:rPr>
          <w:rFonts w:ascii="Arial" w:cs="Arial" w:eastAsia="Arial" w:hAnsi="Arial"/>
          <w:sz w:val="20"/>
          <w:szCs w:val="20"/>
        </w:rPr>
        <w:t xml:space="preserve">Successful delivery of the technology platform upgrade (middleware + API gateway) by Q1 2027.</w:t>
      </w:r>
    </w:p>
    <w:p>
      <w:pPr>
        <w:spacing w:after="100"/>
      </w:pPr>
      <w:r>
        <w:rPr>
          <w:rFonts w:ascii="Arial" w:cs="Arial" w:eastAsia="Arial" w:hAnsi="Arial"/>
          <w:b/>
          <w:bCs/>
          <w:sz w:val="20"/>
          <w:szCs w:val="20"/>
        </w:rPr>
        <w:t xml:space="preserve">Capital requirement: </w:t>
      </w:r>
      <w:r>
        <w:rPr>
          <w:rFonts w:ascii="Arial" w:cs="Arial" w:eastAsia="Arial" w:hAnsi="Arial"/>
          <w:sz w:val="20"/>
          <w:szCs w:val="20"/>
        </w:rPr>
        <w:t xml:space="preserve">$8.4M over three years, of which $3.2M is committed from existing budget and $5.2M requires Board approval.</w:t>
      </w:r>
    </w:p>
    <w:p>
      <w:pPr>
        <w:spacing w:after="80"/>
      </w:pPr>
      <w:r>
        <w:t xml:space="preserve"/>
      </w:r>
    </w:p>
    <w:p>
      <w:r>
        <w:br w:type="page"/>
      </w:r>
    </w:p>
    <w:p>
      <w:pPr>
        <w:pStyle w:val="Heading1"/>
        <w:spacing w:after="160" w:before="280"/>
      </w:pPr>
      <w:r>
        <w:rPr>
          <w:rFonts w:ascii="Arial" w:cs="Arial" w:eastAsia="Arial" w:hAnsi="Arial"/>
          <w:b/>
          <w:bCs/>
          <w:color w:val="1A2E5A"/>
          <w:sz w:val="32"/>
          <w:szCs w:val="32"/>
        </w:rPr>
        <w:t xml:space="preserve">2. Strategic Context</w:t>
      </w:r>
    </w:p>
    <w:p>
      <w:pPr>
        <w:pStyle w:val="Heading2"/>
        <w:spacing w:after="100" w:before="200"/>
      </w:pPr>
      <w:r>
        <w:rPr>
          <w:rFonts w:ascii="Arial" w:cs="Arial" w:eastAsia="Arial" w:hAnsi="Arial"/>
          <w:b/>
          <w:bCs/>
          <w:color w:val="1A2E5A"/>
          <w:sz w:val="26"/>
          <w:szCs w:val="26"/>
        </w:rPr>
        <w:t xml:space="preserve">2.1 Market Position — Domestic</w:t>
      </w:r>
    </w:p>
    <w:p>
      <w:pPr>
        <w:spacing w:after="100"/>
        <w:jc w:val="both"/>
      </w:pPr>
      <w:r>
        <w:rPr>
          <w:rFonts w:ascii="Arial" w:cs="Arial" w:eastAsia="Arial" w:hAnsi="Arial"/>
          <w:sz w:val="20"/>
          <w:szCs w:val="20"/>
        </w:rPr>
        <w:t xml:space="preserve">We operate in a mid-sized domestic digital banking market with an estimated 2.4 million banked adults in our primary geography. Our current market share in digital payments is 8.1%, making us the third-largest player behind the two incumbent commercial banks. We hold the leading position in P2P transfers (17% market share) and mobile bill payments (12%), but trail significantly in merchant acquiring (3%) and BNPL (not yet launched).</w:t>
      </w:r>
    </w:p>
    <w:p>
      <w:pPr>
        <w:spacing w:after="80"/>
      </w:pPr>
      <w:r>
        <w:t xml:space="preserve"/>
      </w:r>
    </w:p>
    <w:p>
      <w:pPr>
        <w:spacing w:after="100"/>
        <w:jc w:val="both"/>
      </w:pPr>
      <w:r>
        <w:rPr>
          <w:rFonts w:ascii="Arial" w:cs="Arial" w:eastAsia="Arial" w:hAnsi="Arial"/>
          <w:sz w:val="20"/>
          <w:szCs w:val="20"/>
        </w:rPr>
        <w:t xml:space="preserve">The domestic competitive environment has intensified in 2025–2026. Three new fintech entrants received licenses in Q4 2025, and the largest incumbent commercial bank launched a standalone digital banking app in March 2026 with $40M in marketing spend. Our differentiation must shift from 'digital-first' (now table stakes) to 'AI-powered intelligence' and 'superior cross-border capability'.</w:t>
      </w:r>
    </w:p>
    <w:p>
      <w:pPr>
        <w:spacing w:after="80"/>
      </w:pPr>
      <w:r>
        <w:t xml:space="preserve"/>
      </w:r>
    </w:p>
    <w:p>
      <w:pPr>
        <w:pStyle w:val="Heading2"/>
        <w:spacing w:after="100" w:before="200"/>
      </w:pPr>
      <w:r>
        <w:rPr>
          <w:rFonts w:ascii="Arial" w:cs="Arial" w:eastAsia="Arial" w:hAnsi="Arial"/>
          <w:b/>
          <w:bCs/>
          <w:color w:val="1A2E5A"/>
          <w:sz w:val="26"/>
          <w:szCs w:val="26"/>
        </w:rPr>
        <w:t xml:space="preserve">2.2 Market Position — GCC</w:t>
      </w:r>
    </w:p>
    <w:p>
      <w:pPr>
        <w:spacing w:after="100"/>
        <w:jc w:val="both"/>
      </w:pPr>
      <w:r>
        <w:rPr>
          <w:rFonts w:ascii="Arial" w:cs="Arial" w:eastAsia="Arial" w:hAnsi="Arial"/>
          <w:sz w:val="20"/>
          <w:szCs w:val="20"/>
        </w:rPr>
        <w:t xml:space="preserve">The GCC payments market represents $1.24 trillion in annual transaction value. Our addressable segment — B2B cross-border payments for SMEs trading between South Asia and the GCC — is estimated at $85 billion, of which the addressable opportunity for a new entrant with our corridors is approximately $18 billion. This is an underpenetrated segment: the three largest GCC banks handle it through correspondent banking at 2.1–2.8% total cost, versus a technology-enabled cost of 1.2–1.5% that we can achieve at scale.</w:t>
      </w:r>
    </w:p>
    <w:p>
      <w:pPr>
        <w:spacing w:after="80"/>
      </w:pPr>
      <w:r>
        <w:t xml:space="preserve"/>
      </w:r>
    </w:p>
    <w:p>
      <w:pPr>
        <w:pStyle w:val="Heading2"/>
        <w:spacing w:after="100" w:before="200"/>
      </w:pPr>
      <w:r>
        <w:rPr>
          <w:rFonts w:ascii="Arial" w:cs="Arial" w:eastAsia="Arial" w:hAnsi="Arial"/>
          <w:b/>
          <w:bCs/>
          <w:color w:val="1A2E5A"/>
          <w:sz w:val="26"/>
          <w:szCs w:val="26"/>
        </w:rPr>
        <w:t xml:space="preserve">2.3 Technology Platform Assessment</w:t>
      </w:r>
    </w:p>
    <w:p>
      <w:pPr>
        <w:spacing w:after="100"/>
        <w:jc w:val="both"/>
      </w:pPr>
      <w:r>
        <w:rPr>
          <w:rFonts w:ascii="Arial" w:cs="Arial" w:eastAsia="Arial" w:hAnsi="Arial"/>
          <w:sz w:val="20"/>
          <w:szCs w:val="20"/>
        </w:rPr>
        <w:t xml:space="preserve">Our current technology stack was built for a market of 200,000 users. We have grown to 194,000 active monthly users, meaning we are approaching the practical limits of the current infrastructure. The core banking system can support up to 300,000 users before requiring a major upgrade. At current growth rates, we will hit that limit in Q3 2027. The technology roadmap must therefore prioritise platform scalability alongside new product features.</w:t>
      </w:r>
    </w:p>
    <w:p>
      <w:pPr>
        <w:spacing w:after="80"/>
      </w:pPr>
      <w:r>
        <w:t xml:space="preserve"/>
      </w:r>
    </w:p>
    <w:p>
      <w:r>
        <w:br w:type="page"/>
      </w:r>
    </w:p>
    <w:p>
      <w:pPr>
        <w:pStyle w:val="Heading1"/>
        <w:spacing w:after="160" w:before="280"/>
      </w:pPr>
      <w:r>
        <w:rPr>
          <w:rFonts w:ascii="Arial" w:cs="Arial" w:eastAsia="Arial" w:hAnsi="Arial"/>
          <w:b/>
          <w:bCs/>
          <w:color w:val="1A2E5A"/>
          <w:sz w:val="32"/>
          <w:szCs w:val="32"/>
        </w:rPr>
        <w:t xml:space="preserve">3. Strategic Pillars</w:t>
      </w:r>
    </w:p>
    <w:p>
      <w:pPr>
        <w:pStyle w:val="Heading2"/>
        <w:spacing w:after="100" w:before="200"/>
      </w:pPr>
      <w:r>
        <w:rPr>
          <w:rFonts w:ascii="Arial" w:cs="Arial" w:eastAsia="Arial" w:hAnsi="Arial"/>
          <w:b/>
          <w:bCs/>
          <w:color w:val="1A2E5A"/>
          <w:sz w:val="26"/>
          <w:szCs w:val="26"/>
        </w:rPr>
        <w:t xml:space="preserve">Pillar 1: Deepen Domestic Market Position</w:t>
      </w:r>
    </w:p>
    <w:p>
      <w:pPr>
        <w:pStyle w:val="Heading3"/>
        <w:spacing w:after="80" w:before="160"/>
      </w:pPr>
      <w:r>
        <w:rPr>
          <w:rFonts w:ascii="Arial" w:cs="Arial" w:eastAsia="Arial" w:hAnsi="Arial"/>
          <w:b/>
          <w:bCs/>
          <w:color w:val="444444"/>
          <w:sz w:val="22"/>
          <w:szCs w:val="22"/>
        </w:rPr>
        <w:t xml:space="preserve">1a. SME Banking Proposition</w:t>
      </w:r>
    </w:p>
    <w:p>
      <w:pPr>
        <w:spacing w:after="100"/>
        <w:jc w:val="both"/>
      </w:pPr>
      <w:r>
        <w:rPr>
          <w:rFonts w:ascii="Arial" w:cs="Arial" w:eastAsia="Arial" w:hAnsi="Arial"/>
          <w:sz w:val="20"/>
          <w:szCs w:val="20"/>
        </w:rPr>
        <w:t xml:space="preserve">We will launch a comprehensive SME digital banking product in Q4 2026, targeting businesses with annual turnover of $500K–$10M. The proposition will include: business current account with multi-user access and approval workflows, invoice financing integrated with our payment rails, FX conversion at live rates for cross-border transactions, and an expense management dashboard with accounting software integration.</w:t>
      </w:r>
    </w:p>
    <w:p>
      <w:pPr>
        <w:spacing w:after="80"/>
      </w:pPr>
      <w:r>
        <w:t xml:space="preserve"/>
      </w:r>
    </w:p>
    <w:p>
      <w:pPr>
        <w:spacing w:after="100"/>
        <w:jc w:val="both"/>
      </w:pPr>
      <w:r>
        <w:rPr>
          <w:rFonts w:ascii="Arial" w:cs="Arial" w:eastAsia="Arial" w:hAnsi="Arial"/>
          <w:sz w:val="20"/>
          <w:szCs w:val="20"/>
        </w:rPr>
        <w:t xml:space="preserve">Business case summary: $2.1M investment, $3.2M incremental revenue in Year 1 (2027), $8.5M by Year 3 (2029). Payback period: 18 months. The SME segment generates 3.2x the revenue per customer of the retail segment and has 60% lower churn. This is our single highest-return domestic investment.</w:t>
      </w:r>
    </w:p>
    <w:p>
      <w:pPr>
        <w:spacing w:after="80"/>
      </w:pPr>
      <w:r>
        <w:t xml:space="preserve"/>
      </w:r>
    </w:p>
    <w:p>
      <w:pPr>
        <w:pStyle w:val="Heading3"/>
        <w:spacing w:after="80" w:before="160"/>
      </w:pPr>
      <w:r>
        <w:rPr>
          <w:rFonts w:ascii="Arial" w:cs="Arial" w:eastAsia="Arial" w:hAnsi="Arial"/>
          <w:b/>
          <w:bCs/>
          <w:color w:val="444444"/>
          <w:sz w:val="22"/>
          <w:szCs w:val="22"/>
        </w:rPr>
        <w:t xml:space="preserve">1b. AI-Powered Customer Experience</w:t>
      </w:r>
    </w:p>
    <w:p>
      <w:pPr>
        <w:spacing w:after="100"/>
        <w:jc w:val="both"/>
      </w:pPr>
      <w:r>
        <w:rPr>
          <w:rFonts w:ascii="Arial" w:cs="Arial" w:eastAsia="Arial" w:hAnsi="Arial"/>
          <w:sz w:val="20"/>
          <w:szCs w:val="20"/>
        </w:rPr>
        <w:t xml:space="preserve">We will embed AI capabilities across the customer journey, starting with: intelligent transaction categorisation and spending insights (Q2 2026, in progress), AI-driven fraud detection reducing false positives from 23% to below 12% (Q3 2026), and a conversational banking assistant for customer support deflection — target 40% of Tier 1 support queries handled without human intervention (Q1 2027).</w:t>
      </w:r>
    </w:p>
    <w:p>
      <w:pPr>
        <w:spacing w:after="80"/>
      </w:pPr>
      <w:r>
        <w:t xml:space="preserve"/>
      </w:r>
    </w:p>
    <w:p>
      <w:pPr>
        <w:pStyle w:val="Heading2"/>
        <w:spacing w:after="100" w:before="200"/>
      </w:pPr>
      <w:r>
        <w:rPr>
          <w:rFonts w:ascii="Arial" w:cs="Arial" w:eastAsia="Arial" w:hAnsi="Arial"/>
          <w:b/>
          <w:bCs/>
          <w:color w:val="1A2E5A"/>
          <w:sz w:val="26"/>
          <w:szCs w:val="26"/>
        </w:rPr>
        <w:t xml:space="preserve">Pillar 2: GCC Expansion</w:t>
      </w:r>
    </w:p>
    <w:p>
      <w:pPr>
        <w:pStyle w:val="Heading3"/>
        <w:spacing w:after="80" w:before="160"/>
      </w:pPr>
      <w:r>
        <w:rPr>
          <w:rFonts w:ascii="Arial" w:cs="Arial" w:eastAsia="Arial" w:hAnsi="Arial"/>
          <w:b/>
          <w:bCs/>
          <w:color w:val="444444"/>
          <w:sz w:val="22"/>
          <w:szCs w:val="22"/>
        </w:rPr>
        <w:t xml:space="preserve">2a. UAE Entry (Q4 2026)</w:t>
      </w:r>
    </w:p>
    <w:p>
      <w:pPr>
        <w:spacing w:after="100"/>
        <w:jc w:val="both"/>
      </w:pPr>
      <w:r>
        <w:rPr>
          <w:rFonts w:ascii="Arial" w:cs="Arial" w:eastAsia="Arial" w:hAnsi="Arial"/>
          <w:sz w:val="20"/>
          <w:szCs w:val="20"/>
        </w:rPr>
        <w:t xml:space="preserve">UAE is our first GCC market. Entry route: DIFC Innovation Testing License (ITL) application by July 31, 2026. Full DIFC licence target: Q2 2027. Initial product: cross-border B2B payments for UAE-based SMEs transacting with Pakistan, India, and Bangladesh. Target: 200 SME clients in the first 6 months, $40M transaction volume, $480K revenue.</w:t>
      </w:r>
    </w:p>
    <w:p>
      <w:pPr>
        <w:spacing w:after="80"/>
      </w:pPr>
      <w:r>
        <w:t xml:space="preserve"/>
      </w:r>
    </w:p>
    <w:p>
      <w:pPr>
        <w:pStyle w:val="Heading3"/>
        <w:spacing w:after="80" w:before="160"/>
      </w:pPr>
      <w:r>
        <w:rPr>
          <w:rFonts w:ascii="Arial" w:cs="Arial" w:eastAsia="Arial" w:hAnsi="Arial"/>
          <w:b/>
          <w:bCs/>
          <w:color w:val="444444"/>
          <w:sz w:val="22"/>
          <w:szCs w:val="22"/>
        </w:rPr>
        <w:t xml:space="preserve">2b. Saudi Arabia Entry (Q2 2027)</w:t>
      </w:r>
    </w:p>
    <w:p>
      <w:pPr>
        <w:spacing w:after="100"/>
        <w:jc w:val="both"/>
      </w:pPr>
      <w:r>
        <w:rPr>
          <w:rFonts w:ascii="Arial" w:cs="Arial" w:eastAsia="Arial" w:hAnsi="Arial"/>
          <w:sz w:val="20"/>
          <w:szCs w:val="20"/>
        </w:rPr>
        <w:t xml:space="preserve">SAMA PSP licence application submitted August 2026 (target). Licence expected Q1 2027 based on current SAMA processing timelines. Saudi Arabia data residency requirement: all transaction data to be hosted on AWS Riyadh region servers. Estimated infrastructure cost: $280K. Target first transaction: April 2027. Year 1 Saudi revenue target: $2.8M.</w:t>
      </w:r>
    </w:p>
    <w:p>
      <w:pPr>
        <w:spacing w:after="80"/>
      </w:pPr>
      <w:r>
        <w:t xml:space="preserve"/>
      </w:r>
    </w:p>
    <w:p>
      <w:pPr>
        <w:pStyle w:val="Heading2"/>
        <w:spacing w:after="100" w:before="200"/>
      </w:pPr>
      <w:r>
        <w:rPr>
          <w:rFonts w:ascii="Arial" w:cs="Arial" w:eastAsia="Arial" w:hAnsi="Arial"/>
          <w:b/>
          <w:bCs/>
          <w:color w:val="1A2E5A"/>
          <w:sz w:val="26"/>
          <w:szCs w:val="26"/>
        </w:rPr>
        <w:t xml:space="preserve">Pillar 3: Technology Platform Scalability</w:t>
      </w:r>
    </w:p>
    <w:p>
      <w:pPr>
        <w:pStyle w:val="Heading3"/>
        <w:spacing w:after="80" w:before="160"/>
      </w:pPr>
      <w:r>
        <w:rPr>
          <w:rFonts w:ascii="Arial" w:cs="Arial" w:eastAsia="Arial" w:hAnsi="Arial"/>
          <w:b/>
          <w:bCs/>
          <w:color w:val="444444"/>
          <w:sz w:val="22"/>
          <w:szCs w:val="22"/>
        </w:rPr>
        <w:t xml:space="preserve">3a. Core Banking Upgrade</w:t>
      </w:r>
    </w:p>
    <w:p>
      <w:pPr>
        <w:spacing w:after="100"/>
        <w:jc w:val="both"/>
      </w:pPr>
      <w:r>
        <w:rPr>
          <w:rFonts w:ascii="Arial" w:cs="Arial" w:eastAsia="Arial" w:hAnsi="Arial"/>
          <w:sz w:val="20"/>
          <w:szCs w:val="20"/>
        </w:rPr>
        <w:t xml:space="preserve">The middleware upgrade (TechCore Systems) must complete by Q3 2026. If delayed beyond July 15, the project defers to Q1 2027. The upgraded platform will support 2 million users, real-time payment processing at 5,000 transactions per second, and ISO 20022 messaging standards required for GCC interoperability.</w:t>
      </w:r>
    </w:p>
    <w:p>
      <w:pPr>
        <w:spacing w:after="80"/>
      </w:pPr>
      <w:r>
        <w:t xml:space="preserve"/>
      </w:r>
    </w:p>
    <w:p>
      <w:pPr>
        <w:pStyle w:val="Heading3"/>
        <w:spacing w:after="80" w:before="160"/>
      </w:pPr>
      <w:r>
        <w:rPr>
          <w:rFonts w:ascii="Arial" w:cs="Arial" w:eastAsia="Arial" w:hAnsi="Arial"/>
          <w:b/>
          <w:bCs/>
          <w:color w:val="444444"/>
          <w:sz w:val="22"/>
          <w:szCs w:val="22"/>
        </w:rPr>
        <w:t xml:space="preserve">3b. API Platform</w:t>
      </w:r>
    </w:p>
    <w:p>
      <w:pPr>
        <w:spacing w:after="100"/>
        <w:jc w:val="both"/>
      </w:pPr>
      <w:r>
        <w:rPr>
          <w:rFonts w:ascii="Arial" w:cs="Arial" w:eastAsia="Arial" w:hAnsi="Arial"/>
          <w:sz w:val="20"/>
          <w:szCs w:val="20"/>
        </w:rPr>
        <w:t xml:space="preserve">An API-first architecture will be implemented by Q2 2027, enabling: third-party app integration for open banking compliance, agent/partner banking connections, and the GCC expansion without needing bespoke integrations for each market. Budget: $1.4M. This is the foundation for both the SME banking product and the GCC expansion.</w:t>
      </w:r>
    </w:p>
    <w:p>
      <w:pPr>
        <w:spacing w:after="80"/>
      </w:pPr>
      <w:r>
        <w:t xml:space="preserve"/>
      </w:r>
    </w:p>
    <w:p>
      <w:r>
        <w:br w:type="page"/>
      </w:r>
    </w:p>
    <w:p>
      <w:pPr>
        <w:pStyle w:val="Heading1"/>
        <w:spacing w:after="160" w:before="280"/>
      </w:pPr>
      <w:r>
        <w:rPr>
          <w:rFonts w:ascii="Arial" w:cs="Arial" w:eastAsia="Arial" w:hAnsi="Arial"/>
          <w:b/>
          <w:bCs/>
          <w:color w:val="1A2E5A"/>
          <w:sz w:val="32"/>
          <w:szCs w:val="32"/>
        </w:rPr>
        <w:t xml:space="preserve">4.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32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2026 (Forecast)</w:t>
            </w:r>
          </w:p>
        </w:tc>
        <w:tc>
          <w:tcPr>
            <w:tcW w:type="dxa" w:w="232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2027 (Plan)</w:t>
            </w:r>
          </w:p>
        </w:tc>
        <w:tc>
          <w:tcPr>
            <w:tcW w:type="dxa" w:w="232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2028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Revenue ($M)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$72.5M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$89.0M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$112.0M</w:t>
            </w:r>
          </w:p>
        </w:tc>
      </w:tr>
      <w:tr>
        <w:tc>
          <w:tcPr>
            <w:tcW w:type="dxa" w:w="2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Domestic Revenue ($M)</w:t>
            </w:r>
          </w:p>
        </w:tc>
        <w:tc>
          <w:tcPr>
            <w:tcW w:type="dxa" w:w="23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$72.1M</w:t>
            </w:r>
          </w:p>
        </w:tc>
        <w:tc>
          <w:tcPr>
            <w:tcW w:type="dxa" w:w="23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$78.0M</w:t>
            </w:r>
          </w:p>
        </w:tc>
        <w:tc>
          <w:tcPr>
            <w:tcW w:type="dxa" w:w="23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$94.0M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GCC Revenue ($M)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$0.4M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$11.0M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$18.0M</w:t>
            </w:r>
          </w:p>
        </w:tc>
      </w:tr>
      <w:tr>
        <w:tc>
          <w:tcPr>
            <w:tcW w:type="dxa" w:w="2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Net Margin</w:t>
            </w:r>
          </w:p>
        </w:tc>
        <w:tc>
          <w:tcPr>
            <w:tcW w:type="dxa" w:w="23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15.5%</w:t>
            </w:r>
          </w:p>
        </w:tc>
        <w:tc>
          <w:tcPr>
            <w:tcW w:type="dxa" w:w="23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17.0%</w:t>
            </w:r>
          </w:p>
        </w:tc>
        <w:tc>
          <w:tcPr>
            <w:tcW w:type="dxa" w:w="23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20.0%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 Monthly Users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210,000</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340,000</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580,000</w:t>
            </w:r>
          </w:p>
        </w:tc>
      </w:tr>
      <w:tr>
        <w:tc>
          <w:tcPr>
            <w:tcW w:type="dxa" w:w="2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SME Clients</w:t>
            </w:r>
          </w:p>
        </w:tc>
        <w:tc>
          <w:tcPr>
            <w:tcW w:type="dxa" w:w="23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0</w:t>
            </w:r>
          </w:p>
        </w:tc>
        <w:tc>
          <w:tcPr>
            <w:tcW w:type="dxa" w:w="23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1,200</w:t>
            </w:r>
          </w:p>
        </w:tc>
        <w:tc>
          <w:tcPr>
            <w:tcW w:type="dxa" w:w="23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3,800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Cost-to-Income Ratio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67%</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63%</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58%</w:t>
            </w:r>
          </w:p>
        </w:tc>
      </w:tr>
    </w:tbl>
    <w:p>
      <w:pPr>
        <w:spacing w:after="80"/>
      </w:pPr>
      <w:r>
        <w:t xml:space="preserve"/>
      </w:r>
    </w:p>
    <w:p>
      <w:pPr>
        <w:spacing w:after="80"/>
      </w:pPr>
      <w:r>
        <w:t xml:space="preserve"/>
      </w:r>
    </w:p>
    <w:p>
      <w:pPr>
        <w:spacing w:after="100"/>
        <w:jc w:val="both"/>
      </w:pPr>
      <w:r>
        <w:rPr>
          <w:rFonts w:ascii="Arial" w:cs="Arial" w:eastAsia="Arial" w:hAnsi="Arial"/>
          <w:sz w:val="20"/>
          <w:szCs w:val="20"/>
        </w:rPr>
        <w:t xml:space="preserve">The revenue growth from $72.5M (2026) to $112M (2028) requires successful delivery of all three strategic pillars. The key risk to the financial plan is GCC expansion delays — if UAE and Saudi Arabia each slip by 2 quarters, the 2028 revenue target reduces to approximately $96M. The domestic plan is more predictable and underpins the base case.</w:t>
      </w:r>
    </w:p>
    <w:p>
      <w:pPr>
        <w:spacing w:after="80"/>
      </w:pPr>
      <w:r>
        <w:t xml:space="preserve"/>
      </w:r>
    </w:p>
    <w:p>
      <w:r>
        <w:br w:type="page"/>
      </w:r>
    </w:p>
    <w:p>
      <w:pPr>
        <w:pStyle w:val="Heading1"/>
        <w:spacing w:after="160" w:before="280"/>
      </w:pPr>
      <w:r>
        <w:rPr>
          <w:rFonts w:ascii="Arial" w:cs="Arial" w:eastAsia="Arial" w:hAnsi="Arial"/>
          <w:b/>
          <w:bCs/>
          <w:color w:val="1A2E5A"/>
          <w:sz w:val="32"/>
          <w:szCs w:val="32"/>
        </w:rPr>
        <w:t xml:space="preserve">5. Capital and Investment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900"/>
        <w:gridCol w:w="1560"/>
      </w:tblGrid>
      <w:tr>
        <w:tc>
          <w:tcPr>
            <w:tcW w:type="dxa" w:w="22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Initiative</w:t>
            </w:r>
          </w:p>
        </w:tc>
        <w:tc>
          <w:tcPr>
            <w:tcW w:type="dxa" w:w="9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2026 ($K)</w:t>
            </w:r>
          </w:p>
        </w:tc>
        <w:tc>
          <w:tcPr>
            <w:tcW w:type="dxa" w:w="9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2027 ($K)</w:t>
            </w:r>
          </w:p>
        </w:tc>
        <w:tc>
          <w:tcPr>
            <w:tcW w:type="dxa" w:w="9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2028 ($K)</w:t>
            </w:r>
          </w:p>
        </w:tc>
        <w:tc>
          <w:tcPr>
            <w:tcW w:type="dxa" w:w="9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Total ($K)</w:t>
            </w:r>
          </w:p>
        </w:tc>
        <w:tc>
          <w:tcPr>
            <w:tcW w:type="dxa" w:w="15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 Banking Upgrade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 progress</w:t>
            </w:r>
          </w:p>
        </w:tc>
      </w:tr>
      <w:tr>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SME Banking Product</w:t>
            </w:r>
          </w:p>
        </w:tc>
        <w:tc>
          <w:tcPr>
            <w:tcW w:type="dxa" w:w="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1,200</w:t>
            </w:r>
          </w:p>
        </w:tc>
        <w:tc>
          <w:tcPr>
            <w:tcW w:type="dxa" w:w="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900</w:t>
            </w:r>
          </w:p>
        </w:tc>
        <w:tc>
          <w:tcPr>
            <w:tcW w:type="dxa" w:w="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2,100</w:t>
            </w:r>
          </w:p>
        </w:tc>
        <w:tc>
          <w:tcPr>
            <w:tcW w:type="dxa" w:w="15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Board approval 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 Platform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Planned</w:t>
            </w:r>
          </w:p>
        </w:tc>
      </w:tr>
      <w:tr>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UAE Entry (DIFC + ops)</w:t>
            </w:r>
          </w:p>
        </w:tc>
        <w:tc>
          <w:tcPr>
            <w:tcW w:type="dxa" w:w="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280</w:t>
            </w:r>
          </w:p>
        </w:tc>
        <w:tc>
          <w:tcPr>
            <w:tcW w:type="dxa" w:w="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600</w:t>
            </w:r>
          </w:p>
        </w:tc>
        <w:tc>
          <w:tcPr>
            <w:tcW w:type="dxa" w:w="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200</w:t>
            </w:r>
          </w:p>
        </w:tc>
        <w:tc>
          <w:tcPr>
            <w:tcW w:type="dxa" w:w="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1,080</w:t>
            </w:r>
          </w:p>
        </w:tc>
        <w:tc>
          <w:tcPr>
            <w:tcW w:type="dxa" w:w="15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Approved in principle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Saudi Arabia Entry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Approved in principle</w:t>
            </w:r>
          </w:p>
        </w:tc>
      </w:tr>
      <w:tr>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AI/ML Capabilities</w:t>
            </w:r>
          </w:p>
        </w:tc>
        <w:tc>
          <w:tcPr>
            <w:tcW w:type="dxa" w:w="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360</w:t>
            </w:r>
          </w:p>
        </w:tc>
        <w:tc>
          <w:tcPr>
            <w:tcW w:type="dxa" w:w="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480</w:t>
            </w:r>
          </w:p>
        </w:tc>
        <w:tc>
          <w:tcPr>
            <w:tcW w:type="dxa" w:w="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320</w:t>
            </w:r>
          </w:p>
        </w:tc>
        <w:tc>
          <w:tcPr>
            <w:tcW w:type="dxa" w:w="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1,160</w:t>
            </w:r>
          </w:p>
        </w:tc>
        <w:tc>
          <w:tcPr>
            <w:tcW w:type="dxa" w:w="15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Q3 2026 start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Residency (KSA)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Planned</w:t>
            </w:r>
          </w:p>
        </w:tc>
      </w:tr>
      <w:tr>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Total</w:t>
            </w:r>
          </w:p>
        </w:tc>
        <w:tc>
          <w:tcPr>
            <w:tcW w:type="dxa" w:w="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2,820</w:t>
            </w:r>
          </w:p>
        </w:tc>
        <w:tc>
          <w:tcPr>
            <w:tcW w:type="dxa" w:w="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3,940</w:t>
            </w:r>
          </w:p>
        </w:tc>
        <w:tc>
          <w:tcPr>
            <w:tcW w:type="dxa" w:w="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920</w:t>
            </w:r>
          </w:p>
        </w:tc>
        <w:tc>
          <w:tcPr>
            <w:tcW w:type="dxa" w:w="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7,680</w:t>
            </w:r>
          </w:p>
        </w:tc>
        <w:tc>
          <w:tcPr>
            <w:tcW w:type="dxa" w:w="15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spacing w:after="80"/>
      </w:pPr>
      <w:r>
        <w:t xml:space="preserve"/>
      </w:r>
    </w:p>
    <w:p>
      <w:pPr>
        <w:spacing w:after="100"/>
        <w:jc w:val="both"/>
      </w:pPr>
      <w:r>
        <w:rPr>
          <w:rFonts w:ascii="Arial" w:cs="Arial" w:eastAsia="Arial" w:hAnsi="Arial"/>
          <w:sz w:val="20"/>
          <w:szCs w:val="20"/>
        </w:rPr>
        <w:t xml:space="preserve">Of the $7.68M total investment, $3.2M is committed within the existing capital plan. The remaining $4.48M requires Board approval: $2.1M for SME banking (September 2026 Board), $1.4M for the API platform (Q3 2026 ExCo), and $980K for GCC operational costs (June 2026 Board).</w:t>
      </w:r>
    </w:p>
    <w:p>
      <w:pPr>
        <w:spacing w:after="80"/>
      </w:pPr>
      <w:r>
        <w:t xml:space="preserve"/>
      </w:r>
    </w:p>
    <w:p>
      <w:r>
        <w:br w:type="page"/>
      </w:r>
    </w:p>
    <w:p>
      <w:pPr>
        <w:pStyle w:val="Heading1"/>
        <w:spacing w:after="160" w:before="280"/>
      </w:pPr>
      <w:r>
        <w:rPr>
          <w:rFonts w:ascii="Arial" w:cs="Arial" w:eastAsia="Arial" w:hAnsi="Arial"/>
          <w:b/>
          <w:bCs/>
          <w:color w:val="1A2E5A"/>
          <w:sz w:val="32"/>
          <w:szCs w:val="32"/>
        </w:rPr>
        <w:t xml:space="preserve">6. Strategic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900"/>
        <w:gridCol w:w="5060"/>
      </w:tblGrid>
      <w:tr>
        <w:tc>
          <w:tcPr>
            <w:tcW w:type="dxa" w:w="24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0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9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50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GCC regulatory delays extend beyond Q1 2027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Dual-track applications (UAE+KSA simultaneously); sandbox route reduces timeline</w:t>
            </w:r>
          </w:p>
        </w:tc>
      </w:tr>
      <w:tr>
        <w:tc>
          <w:tcPr>
            <w:tcW w:type="dxa" w:w="2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Technology platform cannot scale past 300K users</w:t>
            </w:r>
          </w:p>
        </w:tc>
        <w:tc>
          <w:tcPr>
            <w:tcW w:type="dxa" w:w="1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LOW</w:t>
            </w:r>
          </w:p>
        </w:tc>
        <w:tc>
          <w:tcPr>
            <w:tcW w:type="dxa" w:w="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CRITICAL</w:t>
            </w:r>
          </w:p>
        </w:tc>
        <w:tc>
          <w:tcPr>
            <w:tcW w:type="dxa" w:w="50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Migration to cloud-native architecture by Q2 2027; load testing at 250K users Q4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Domestic incumbent launches aggressive price war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Differentiate on AI and cross-border; SME banking as defensible moat</w:t>
            </w:r>
          </w:p>
        </w:tc>
      </w:tr>
      <w:tr>
        <w:tc>
          <w:tcPr>
            <w:tcW w:type="dxa" w:w="2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AML compliance gap escalates to regulatory action</w:t>
            </w:r>
          </w:p>
        </w:tc>
        <w:tc>
          <w:tcPr>
            <w:tcW w:type="dxa" w:w="1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LOW</w:t>
            </w:r>
          </w:p>
        </w:tc>
        <w:tc>
          <w:tcPr>
            <w:tcW w:type="dxa" w:w="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CRITICAL</w:t>
            </w:r>
          </w:p>
        </w:tc>
        <w:tc>
          <w:tcPr>
            <w:tcW w:type="dxa" w:w="50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Recalibration project Q3 2026; external audit of AML programme Q4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 margin continues declining below 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Cost programme; vendor renegotiations; middleware fix reducing op cost/transaction</w:t>
            </w:r>
          </w:p>
        </w:tc>
      </w:tr>
    </w:tbl>
    <w:p>
      <w:pPr>
        <w:spacing w:after="80"/>
      </w:pPr>
      <w:r>
        <w:t xml:space="preserve"/>
      </w:r>
    </w:p>
    <w:p>
      <w:pPr>
        <w:spacing w:after="80"/>
      </w:pPr>
      <w:r>
        <w:t xml:space="preserve"/>
      </w:r>
    </w:p>
    <w:p>
      <w:pPr>
        <w:pStyle w:val="Heading1"/>
        <w:spacing w:after="160" w:before="280"/>
      </w:pPr>
      <w:r>
        <w:rPr>
          <w:rFonts w:ascii="Arial" w:cs="Arial" w:eastAsia="Arial" w:hAnsi="Arial"/>
          <w:b/>
          <w:bCs/>
          <w:color w:val="1A2E5A"/>
          <w:sz w:val="32"/>
          <w:szCs w:val="32"/>
        </w:rPr>
        <w:t xml:space="preserve">7. Governance and Review</w:t>
      </w:r>
    </w:p>
    <w:p>
      <w:pPr>
        <w:spacing w:after="100"/>
        <w:jc w:val="both"/>
      </w:pPr>
      <w:r>
        <w:rPr>
          <w:rFonts w:ascii="Arial" w:cs="Arial" w:eastAsia="Arial" w:hAnsi="Arial"/>
          <w:sz w:val="20"/>
          <w:szCs w:val="20"/>
        </w:rPr>
        <w:t xml:space="preserve">This strategy will be reviewed quarterly by the Executive Committee and annually by the Board. The following KPIs will be tracked monthly and reported to the Board Risk and Strategy Committee: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160"/>
      </w:tblGrid>
      <w:tr>
        <w:tc>
          <w:tcPr>
            <w:tcW w:type="dxa" w:w="24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14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2026 Target</w:t>
            </w:r>
          </w:p>
        </w:tc>
        <w:tc>
          <w:tcPr>
            <w:tcW w:type="dxa" w:w="14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2027 Target</w:t>
            </w:r>
          </w:p>
        </w:tc>
        <w:tc>
          <w:tcPr>
            <w:tcW w:type="dxa" w:w="14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2028 Target</w:t>
            </w:r>
          </w:p>
        </w:tc>
        <w:tc>
          <w:tcPr>
            <w:tcW w:type="dxa" w:w="11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Monthly Active 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210,000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340,000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580,000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CMO</w:t>
            </w:r>
          </w:p>
        </w:tc>
      </w:tr>
      <w:tr>
        <w:tc>
          <w:tcPr>
            <w:tcW w:type="dxa" w:w="2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Revenue ($M annualised)</w:t>
            </w:r>
          </w:p>
        </w:tc>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$72.5M</w:t>
            </w:r>
          </w:p>
        </w:tc>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$89M</w:t>
            </w:r>
          </w:p>
        </w:tc>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$112M</w:t>
            </w:r>
          </w:p>
        </w:tc>
        <w:tc>
          <w:tcPr>
            <w:tcW w:type="dxa" w:w="11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CFO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 Margin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CFO</w:t>
            </w:r>
          </w:p>
        </w:tc>
      </w:tr>
      <w:tr>
        <w:tc>
          <w:tcPr>
            <w:tcW w:type="dxa" w:w="2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Payment Success Rate</w:t>
            </w:r>
          </w:p>
        </w:tc>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99.2%</w:t>
            </w:r>
          </w:p>
        </w:tc>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99.5%</w:t>
            </w:r>
          </w:p>
        </w:tc>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99.8%</w:t>
            </w:r>
          </w:p>
        </w:tc>
        <w:tc>
          <w:tcPr>
            <w:tcW w:type="dxa" w:w="11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CTO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GCC Transaction Volume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$280M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$600M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CEO</w:t>
            </w:r>
          </w:p>
        </w:tc>
      </w:tr>
      <w:tr>
        <w:tc>
          <w:tcPr>
            <w:tcW w:type="dxa" w:w="2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NPS Score</w:t>
            </w:r>
          </w:p>
        </w:tc>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55+</w:t>
            </w:r>
          </w:p>
        </w:tc>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60+</w:t>
            </w:r>
          </w:p>
        </w:tc>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65+</w:t>
            </w:r>
          </w:p>
        </w:tc>
        <w:tc>
          <w:tcPr>
            <w:tcW w:type="dxa" w:w="11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COO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AML False Positive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Below 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Below 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Below 12%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CCO</w:t>
            </w:r>
          </w:p>
        </w:tc>
      </w:tr>
      <w:tr>
        <w:tc>
          <w:tcPr>
            <w:tcW w:type="dxa" w:w="2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Cost-to-Income Ratio</w:t>
            </w:r>
          </w:p>
        </w:tc>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Below 65%</w:t>
            </w:r>
          </w:p>
        </w:tc>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Below 63%</w:t>
            </w:r>
          </w:p>
        </w:tc>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Below 58%</w:t>
            </w:r>
          </w:p>
        </w:tc>
        <w:tc>
          <w:tcPr>
            <w:tcW w:type="dxa" w:w="11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18"/>
                <w:szCs w:val="18"/>
              </w:rPr>
              <w:t xml:space="preserve">CFO</w:t>
            </w:r>
          </w:p>
        </w:tc>
      </w:tr>
    </w:tbl>
    <w:p>
      <w:pPr>
        <w:spacing w:after="80"/>
      </w:pPr>
      <w:r>
        <w:t xml:space="preserve"/>
      </w:r>
    </w:p>
    <w:p>
      <w:pPr>
        <w:spacing w:before="400"/>
        <w:jc w:val="center"/>
      </w:pPr>
      <w:r>
        <w:rPr>
          <w:rFonts w:ascii="Arial" w:cs="Arial" w:eastAsia="Arial" w:hAnsi="Arial"/>
          <w:color w:val="888888"/>
          <w:sz w:val="16"/>
          <w:szCs w:val="16"/>
        </w:rPr>
        <w:t xml:space="preserve">Document Control: Version 2.1 | Approved: CEO, May 30, 2026 | Next Review: September 2026 Board | Owner: Strategy &amp; Corporate Development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888888"/>
        <w:sz w:val="16"/>
        <w:szCs w:val="16"/>
      </w:rPr>
      <w:t xml:space="preserve">Digital Banking Strategy 2026–2028  |  CONFIDENTIAL</w:t>
    </w:r>
    <w:r>
      <w:rPr>
        <w:rFonts w:ascii="Arial" w:cs="Arial" w:eastAsia="Arial" w:hAnsi="Arial"/>
        <w:color w:val="888888"/>
        <w:sz w:val="16"/>
        <w:szCs w:val="16"/>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2026-05-29T09:26:08.401Z</dcterms:created>
  <dcterms:modified xsi:type="dcterms:W3CDTF">2026-05-29T09:26:08.401Z</dcterms:modified>
</cp:coreProperties>
</file>

<file path=docProps/custom.xml><?xml version="1.0" encoding="utf-8"?>
<Properties xmlns="http://schemas.openxmlformats.org/officeDocument/2006/custom-properties" xmlns:vt="http://schemas.openxmlformats.org/officeDocument/2006/docPropsVTypes"/>
</file>