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0DD0A" w14:textId="2CFE878C" w:rsidR="0069638E" w:rsidRDefault="00FE17AF" w:rsidP="00FE17AF">
      <w:pPr>
        <w:spacing w:line="240" w:lineRule="auto"/>
      </w:pPr>
      <w:r>
        <w:t>The following describes the columns of the “</w:t>
      </w:r>
      <w:r w:rsidR="004A6581" w:rsidRPr="004A6581">
        <w:t>AbsAbundanceITS2Only</w:t>
      </w:r>
      <w:r>
        <w:t>” data file that accompanies Drummond et al., 2026.</w:t>
      </w:r>
    </w:p>
    <w:p w14:paraId="3485FA41" w14:textId="77777777" w:rsidR="00FE17AF" w:rsidRDefault="00FE17AF" w:rsidP="00FE17AF">
      <w:pPr>
        <w:spacing w:line="240" w:lineRule="auto"/>
      </w:pPr>
    </w:p>
    <w:p w14:paraId="79359C2C" w14:textId="77777777" w:rsidR="00FE17AF" w:rsidRDefault="00FE17AF" w:rsidP="00FE17AF">
      <w:pPr>
        <w:spacing w:line="240" w:lineRule="auto"/>
        <w:ind w:firstLine="0"/>
      </w:pPr>
    </w:p>
    <w:p w14:paraId="58A979B0" w14:textId="214B60D4" w:rsidR="00FE17AF" w:rsidRDefault="00FE17AF" w:rsidP="00FE17AF">
      <w:pPr>
        <w:spacing w:line="240" w:lineRule="auto"/>
        <w:ind w:left="720" w:hanging="720"/>
      </w:pPr>
      <w:r>
        <w:t>Sample: sample ID. First character represents the mother colony, second character represented control (“C”), or heat-treated (experimental, “E”), the numeral before the period is the tank number, and the number after the period is the week.</w:t>
      </w:r>
    </w:p>
    <w:p w14:paraId="77E7FD03" w14:textId="77777777" w:rsidR="00FE17AF" w:rsidRDefault="00FE17AF" w:rsidP="00FE17AF">
      <w:pPr>
        <w:spacing w:line="240" w:lineRule="auto"/>
        <w:ind w:left="720" w:hanging="720"/>
      </w:pPr>
    </w:p>
    <w:p w14:paraId="1A748C95" w14:textId="4FF85972" w:rsidR="00FE17AF" w:rsidRDefault="004A6581" w:rsidP="00FE17AF">
      <w:pPr>
        <w:spacing w:line="240" w:lineRule="auto"/>
        <w:ind w:left="720" w:hanging="720"/>
      </w:pPr>
      <w:r>
        <w:t>Colony: the mother colony for each sample.</w:t>
      </w:r>
    </w:p>
    <w:p w14:paraId="7D954EBA" w14:textId="77777777" w:rsidR="00FE17AF" w:rsidRDefault="00FE17AF" w:rsidP="00FE17AF">
      <w:pPr>
        <w:spacing w:line="240" w:lineRule="auto"/>
        <w:ind w:left="720" w:hanging="720"/>
      </w:pPr>
    </w:p>
    <w:p w14:paraId="7CE4C104" w14:textId="41B1223B" w:rsidR="00FE17AF" w:rsidRDefault="004A6581" w:rsidP="00FE17AF">
      <w:pPr>
        <w:spacing w:line="240" w:lineRule="auto"/>
        <w:ind w:left="720" w:hanging="720"/>
      </w:pPr>
      <w:r>
        <w:t>Time</w:t>
      </w:r>
      <w:r w:rsidR="00FE17AF">
        <w:t>: the week for each sample.</w:t>
      </w:r>
      <w:r>
        <w:t xml:space="preserve"> 0 = Week 1, 1 = Week 4.</w:t>
      </w:r>
    </w:p>
    <w:p w14:paraId="4BD42733" w14:textId="77777777" w:rsidR="00FE17AF" w:rsidRDefault="00FE17AF" w:rsidP="00FE17AF">
      <w:pPr>
        <w:spacing w:line="240" w:lineRule="auto"/>
        <w:ind w:left="720" w:hanging="720"/>
      </w:pPr>
    </w:p>
    <w:p w14:paraId="62B5EE59" w14:textId="13E189BF" w:rsidR="004A6581" w:rsidRDefault="00FE17AF" w:rsidP="004A6581">
      <w:pPr>
        <w:spacing w:line="240" w:lineRule="auto"/>
        <w:ind w:left="720" w:hanging="720"/>
      </w:pPr>
      <w:r>
        <w:t>R</w:t>
      </w:r>
      <w:r w:rsidR="004A6581">
        <w:t>esult</w:t>
      </w:r>
      <w:r>
        <w:t xml:space="preserve">: </w:t>
      </w:r>
      <w:r w:rsidR="004A6581">
        <w:t xml:space="preserve">a binary outcome indicating whether </w:t>
      </w:r>
      <w:r w:rsidR="004A6581">
        <w:t>the sample was healthy (H) or necrosed (N)</w:t>
      </w:r>
      <w:r w:rsidR="004A6581">
        <w:t>.</w:t>
      </w:r>
    </w:p>
    <w:p w14:paraId="061335CC" w14:textId="7885B395" w:rsidR="00FE17AF" w:rsidRDefault="00FE17AF" w:rsidP="00FE17AF">
      <w:pPr>
        <w:spacing w:line="240" w:lineRule="auto"/>
        <w:ind w:left="720" w:hanging="720"/>
      </w:pPr>
    </w:p>
    <w:p w14:paraId="53C40992" w14:textId="7A17D130" w:rsidR="00EB2A62" w:rsidRDefault="004A6581" w:rsidP="00FE17AF">
      <w:pPr>
        <w:spacing w:line="240" w:lineRule="auto"/>
        <w:ind w:left="720" w:hanging="720"/>
      </w:pPr>
      <w:proofErr w:type="spellStart"/>
      <w:r>
        <w:t>OvC</w:t>
      </w:r>
      <w:proofErr w:type="spellEnd"/>
      <w:r>
        <w:t>: a binary outcome indicating whether the sample was open (Y) or closed (N).</w:t>
      </w:r>
    </w:p>
    <w:p w14:paraId="4E8B3050" w14:textId="77777777" w:rsidR="004A6581" w:rsidRDefault="004A6581" w:rsidP="00FE17AF">
      <w:pPr>
        <w:spacing w:line="240" w:lineRule="auto"/>
        <w:ind w:left="720" w:hanging="720"/>
      </w:pPr>
    </w:p>
    <w:p w14:paraId="6016A492" w14:textId="7D92310B" w:rsidR="004A6581" w:rsidRDefault="004A6581" w:rsidP="00FE17AF">
      <w:pPr>
        <w:spacing w:line="240" w:lineRule="auto"/>
        <w:ind w:left="720" w:hanging="720"/>
      </w:pPr>
    </w:p>
    <w:p w14:paraId="30A4416A" w14:textId="217F2C24" w:rsidR="004A6581" w:rsidRDefault="004A6581" w:rsidP="00FE17AF">
      <w:pPr>
        <w:spacing w:line="240" w:lineRule="auto"/>
        <w:ind w:left="720" w:hanging="720"/>
      </w:pPr>
      <w:r>
        <w:t xml:space="preserve">The remaining columns indicate the absolute abundance of identified </w:t>
      </w:r>
      <w:proofErr w:type="spellStart"/>
      <w:r w:rsidRPr="004A6581">
        <w:t>Symbiodiniaceae</w:t>
      </w:r>
      <w:proofErr w:type="spellEnd"/>
      <w:r>
        <w:t xml:space="preserve"> lineages.</w:t>
      </w:r>
    </w:p>
    <w:sectPr w:rsidR="004A65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7AF"/>
    <w:rsid w:val="00036BD7"/>
    <w:rsid w:val="0014108E"/>
    <w:rsid w:val="001F3B04"/>
    <w:rsid w:val="00247B1C"/>
    <w:rsid w:val="003C722E"/>
    <w:rsid w:val="004A6581"/>
    <w:rsid w:val="005A6625"/>
    <w:rsid w:val="0069638E"/>
    <w:rsid w:val="00751093"/>
    <w:rsid w:val="007637C7"/>
    <w:rsid w:val="0092261C"/>
    <w:rsid w:val="00993436"/>
    <w:rsid w:val="00A10E61"/>
    <w:rsid w:val="00EB2A62"/>
    <w:rsid w:val="00ED749E"/>
    <w:rsid w:val="00F21B8C"/>
    <w:rsid w:val="00FE1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3AA3F"/>
  <w15:chartTrackingRefBased/>
  <w15:docId w15:val="{D1D3EF22-43A8-4041-8DA7-14FB9B1EE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BD7"/>
    <w:pPr>
      <w:spacing w:after="0" w:line="480" w:lineRule="auto"/>
      <w:ind w:firstLine="425"/>
    </w:pPr>
    <w:rPr>
      <w:rFonts w:ascii="Garamond" w:hAnsi="Garamond" w:cs="Calibri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6BD7"/>
    <w:pPr>
      <w:keepNext/>
      <w:keepLines/>
      <w:spacing w:before="360" w:after="80"/>
      <w:ind w:firstLine="0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BD7"/>
    <w:pPr>
      <w:ind w:firstLine="0"/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BD7"/>
    <w:pPr>
      <w:keepNext/>
      <w:keepLines/>
      <w:spacing w:before="160" w:after="80"/>
      <w:outlineLvl w:val="2"/>
    </w:pPr>
    <w:rPr>
      <w:rFonts w:eastAsiaTheme="majorEastAsia" w:cstheme="majorBidi"/>
      <w:color w:val="F1269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F1269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BD7"/>
    <w:pPr>
      <w:keepNext/>
      <w:keepLines/>
      <w:spacing w:before="80" w:after="40"/>
      <w:outlineLvl w:val="4"/>
    </w:pPr>
    <w:rPr>
      <w:rFonts w:eastAsiaTheme="majorEastAsia" w:cstheme="majorBidi"/>
      <w:color w:val="F1269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BD7"/>
    <w:pPr>
      <w:keepNext/>
      <w:keepLines/>
      <w:spacing w:before="40"/>
      <w:outlineLvl w:val="5"/>
    </w:pPr>
    <w:rPr>
      <w:rFonts w:eastAsiaTheme="majorEastAsia" w:cstheme="majorBidi"/>
      <w:i/>
      <w:iCs/>
      <w:color w:val="6F6F6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BD7"/>
    <w:pPr>
      <w:keepNext/>
      <w:keepLines/>
      <w:spacing w:before="40"/>
      <w:outlineLvl w:val="6"/>
    </w:pPr>
    <w:rPr>
      <w:rFonts w:eastAsiaTheme="majorEastAsia" w:cstheme="majorBidi"/>
      <w:color w:val="6F6F6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BD7"/>
    <w:pPr>
      <w:keepNext/>
      <w:keepLines/>
      <w:outlineLvl w:val="7"/>
    </w:pPr>
    <w:rPr>
      <w:rFonts w:eastAsiaTheme="majorEastAsia" w:cstheme="majorBidi"/>
      <w:i/>
      <w:iCs/>
      <w:color w:val="434343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BD7"/>
    <w:pPr>
      <w:keepNext/>
      <w:keepLines/>
      <w:outlineLvl w:val="8"/>
    </w:pPr>
    <w:rPr>
      <w:rFonts w:eastAsiaTheme="majorEastAsia" w:cstheme="majorBidi"/>
      <w:color w:val="434343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BD7"/>
    <w:rPr>
      <w:rFonts w:ascii="Garamond" w:eastAsiaTheme="majorEastAsia" w:hAnsi="Garamond" w:cstheme="majorBidi"/>
      <w:b/>
      <w:bCs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36BD7"/>
    <w:rPr>
      <w:rFonts w:ascii="Garamond" w:hAnsi="Garamond" w:cs="Calibri"/>
      <w:i/>
      <w:iCs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BD7"/>
    <w:rPr>
      <w:rFonts w:ascii="Garamond" w:eastAsiaTheme="majorEastAsia" w:hAnsi="Garamond" w:cstheme="majorBidi"/>
      <w:color w:val="F12690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BD7"/>
    <w:rPr>
      <w:rFonts w:ascii="Garamond" w:eastAsiaTheme="majorEastAsia" w:hAnsi="Garamond" w:cstheme="majorBidi"/>
      <w:i/>
      <w:iCs/>
      <w:color w:val="F12690" w:themeColor="accent1" w:themeShade="BF"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BD7"/>
    <w:rPr>
      <w:rFonts w:ascii="Garamond" w:eastAsiaTheme="majorEastAsia" w:hAnsi="Garamond" w:cstheme="majorBidi"/>
      <w:color w:val="F12690" w:themeColor="accent1" w:themeShade="BF"/>
      <w:kern w:val="0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BD7"/>
    <w:rPr>
      <w:rFonts w:ascii="Garamond" w:eastAsiaTheme="majorEastAsia" w:hAnsi="Garamond" w:cstheme="majorBidi"/>
      <w:i/>
      <w:iCs/>
      <w:color w:val="6F6F6F" w:themeColor="text1" w:themeTint="A6"/>
      <w:kern w:val="0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BD7"/>
    <w:rPr>
      <w:rFonts w:ascii="Garamond" w:eastAsiaTheme="majorEastAsia" w:hAnsi="Garamond" w:cstheme="majorBidi"/>
      <w:color w:val="6F6F6F" w:themeColor="text1" w:themeTint="A6"/>
      <w:kern w:val="0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BD7"/>
    <w:rPr>
      <w:rFonts w:ascii="Garamond" w:eastAsiaTheme="majorEastAsia" w:hAnsi="Garamond" w:cstheme="majorBidi"/>
      <w:i/>
      <w:iCs/>
      <w:color w:val="434343" w:themeColor="text1" w:themeTint="D8"/>
      <w:kern w:val="0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BD7"/>
    <w:rPr>
      <w:rFonts w:ascii="Garamond" w:eastAsiaTheme="majorEastAsia" w:hAnsi="Garamond" w:cstheme="majorBidi"/>
      <w:color w:val="434343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36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BD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BD7"/>
    <w:pPr>
      <w:numPr>
        <w:ilvl w:val="1"/>
      </w:numPr>
      <w:ind w:firstLine="425"/>
    </w:pPr>
    <w:rPr>
      <w:rFonts w:eastAsiaTheme="majorEastAsia" w:cstheme="majorBidi"/>
      <w:color w:val="6F6F6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BD7"/>
    <w:rPr>
      <w:rFonts w:ascii="Garamond" w:eastAsiaTheme="majorEastAsia" w:hAnsi="Garamond" w:cstheme="majorBidi"/>
      <w:color w:val="6F6F6F" w:themeColor="text1" w:themeTint="A6"/>
      <w:spacing w:val="15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036BD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36BD7"/>
    <w:pPr>
      <w:spacing w:before="160"/>
      <w:jc w:val="center"/>
    </w:pPr>
    <w:rPr>
      <w:i/>
      <w:iCs/>
      <w:color w:val="595959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BD7"/>
    <w:rPr>
      <w:rFonts w:ascii="Garamond" w:hAnsi="Garamond" w:cs="Calibri"/>
      <w:i/>
      <w:iCs/>
      <w:color w:val="595959" w:themeColor="text1" w:themeTint="BF"/>
      <w:kern w:val="0"/>
      <w:sz w:val="24"/>
      <w:szCs w:val="24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BD7"/>
    <w:pPr>
      <w:pBdr>
        <w:top w:val="single" w:sz="4" w:space="10" w:color="F12690" w:themeColor="accent1" w:themeShade="BF"/>
        <w:bottom w:val="single" w:sz="4" w:space="10" w:color="F12690" w:themeColor="accent1" w:themeShade="BF"/>
      </w:pBdr>
      <w:spacing w:before="360" w:after="360"/>
      <w:ind w:left="864" w:right="864"/>
      <w:jc w:val="center"/>
    </w:pPr>
    <w:rPr>
      <w:i/>
      <w:iCs/>
      <w:color w:val="F1269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BD7"/>
    <w:rPr>
      <w:rFonts w:ascii="Garamond" w:hAnsi="Garamond" w:cs="Calibri"/>
      <w:i/>
      <w:iCs/>
      <w:color w:val="F12690" w:themeColor="accent1" w:themeShade="BF"/>
      <w:kern w:val="0"/>
      <w:sz w:val="24"/>
      <w:szCs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036BD7"/>
    <w:rPr>
      <w:i/>
      <w:iCs/>
      <w:color w:val="F1269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BD7"/>
    <w:rPr>
      <w:b/>
      <w:bCs/>
      <w:smallCaps/>
      <w:color w:val="F12690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C72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C72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C722E"/>
    <w:rPr>
      <w:rFonts w:ascii="Garamond" w:hAnsi="Garamond" w:cs="Calibri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72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722E"/>
    <w:rPr>
      <w:rFonts w:ascii="Garamond" w:hAnsi="Garamond" w:cs="Calibri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222222"/>
      </a:dk1>
      <a:lt1>
        <a:sysClr val="window" lastClr="FFFFFF"/>
      </a:lt1>
      <a:dk2>
        <a:srgbClr val="222222"/>
      </a:dk2>
      <a:lt2>
        <a:srgbClr val="E8E8E8"/>
      </a:lt2>
      <a:accent1>
        <a:srgbClr val="F77FBE"/>
      </a:accent1>
      <a:accent2>
        <a:srgbClr val="66C7F4"/>
      </a:accent2>
      <a:accent3>
        <a:srgbClr val="F4B942"/>
      </a:accent3>
      <a:accent4>
        <a:srgbClr val="606C38"/>
      </a:accent4>
      <a:accent5>
        <a:srgbClr val="4F345A"/>
      </a:accent5>
      <a:accent6>
        <a:srgbClr val="222222"/>
      </a:accent6>
      <a:hlink>
        <a:srgbClr val="222222"/>
      </a:hlink>
      <a:folHlink>
        <a:srgbClr val="22222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Keegan Lutek</dc:creator>
  <cp:keywords/>
  <dc:description/>
  <cp:lastModifiedBy>Keegan Lutek</cp:lastModifiedBy>
  <cp:revision>2</cp:revision>
  <dcterms:created xsi:type="dcterms:W3CDTF">2026-07-16T16:51:00Z</dcterms:created>
  <dcterms:modified xsi:type="dcterms:W3CDTF">2026-07-16T16:51:00Z</dcterms:modified>
</cp:coreProperties>
</file>