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DD0A" w14:textId="31992DAB" w:rsidR="0069638E" w:rsidRDefault="00FE17AF" w:rsidP="00FE17AF">
      <w:pPr>
        <w:spacing w:line="240" w:lineRule="auto"/>
      </w:pPr>
      <w:r>
        <w:t>The following describes the columns of the “</w:t>
      </w:r>
      <w:proofErr w:type="spellStart"/>
      <w:r>
        <w:t>mastersheet</w:t>
      </w:r>
      <w:proofErr w:type="spellEnd"/>
      <w:r>
        <w:t>” data file that accompanies Drummond et al., 2026.</w:t>
      </w:r>
    </w:p>
    <w:p w14:paraId="3485FA41" w14:textId="77777777" w:rsidR="00FE17AF" w:rsidRDefault="00FE17AF" w:rsidP="00FE17AF">
      <w:pPr>
        <w:spacing w:line="240" w:lineRule="auto"/>
      </w:pPr>
    </w:p>
    <w:p w14:paraId="79359C2C" w14:textId="77777777" w:rsidR="00FE17AF" w:rsidRDefault="00FE17AF" w:rsidP="00FE17AF">
      <w:pPr>
        <w:spacing w:line="240" w:lineRule="auto"/>
        <w:ind w:firstLine="0"/>
      </w:pPr>
    </w:p>
    <w:p w14:paraId="58A979B0" w14:textId="214B60D4" w:rsidR="00FE17AF" w:rsidRDefault="00FE17AF" w:rsidP="00FE17AF">
      <w:pPr>
        <w:spacing w:line="240" w:lineRule="auto"/>
        <w:ind w:left="720" w:hanging="720"/>
      </w:pPr>
      <w:r>
        <w:t>Sample: sample ID. First character represents the mother colony, second character represented control (“C”), or heat-treated (experimental, “E”), the numeral before the period is the tank number, and the number after the period is the week.</w:t>
      </w:r>
    </w:p>
    <w:p w14:paraId="77E7FD03" w14:textId="77777777" w:rsidR="00FE17AF" w:rsidRDefault="00FE17AF" w:rsidP="00FE17AF">
      <w:pPr>
        <w:spacing w:line="240" w:lineRule="auto"/>
        <w:ind w:left="720" w:hanging="720"/>
      </w:pPr>
    </w:p>
    <w:p w14:paraId="1A748C95" w14:textId="72F487B8" w:rsidR="00FE17AF" w:rsidRDefault="00FE17AF" w:rsidP="00FE17AF">
      <w:pPr>
        <w:spacing w:line="240" w:lineRule="auto"/>
        <w:ind w:left="720" w:hanging="720"/>
      </w:pPr>
      <w:r>
        <w:t>Temp: the temperature (°C) at which the sample was held.</w:t>
      </w:r>
    </w:p>
    <w:p w14:paraId="7D954EBA" w14:textId="77777777" w:rsidR="00FE17AF" w:rsidRDefault="00FE17AF" w:rsidP="00FE17AF">
      <w:pPr>
        <w:spacing w:line="240" w:lineRule="auto"/>
        <w:ind w:left="720" w:hanging="720"/>
      </w:pPr>
    </w:p>
    <w:p w14:paraId="0F2A730F" w14:textId="68256A01" w:rsidR="00FE17AF" w:rsidRDefault="00FE17AF" w:rsidP="00FE17AF">
      <w:pPr>
        <w:spacing w:line="240" w:lineRule="auto"/>
        <w:ind w:left="720" w:hanging="720"/>
      </w:pPr>
      <w:r>
        <w:t>Tank: the tank number for each sample.</w:t>
      </w:r>
    </w:p>
    <w:p w14:paraId="5B1BCC46" w14:textId="77777777" w:rsidR="00FE17AF" w:rsidRDefault="00FE17AF" w:rsidP="00FE17AF">
      <w:pPr>
        <w:spacing w:line="240" w:lineRule="auto"/>
        <w:ind w:left="720" w:hanging="720"/>
      </w:pPr>
    </w:p>
    <w:p w14:paraId="2B21B8CB" w14:textId="578F3D8D" w:rsidR="00FE17AF" w:rsidRDefault="00FE17AF" w:rsidP="00FE17AF">
      <w:pPr>
        <w:spacing w:line="240" w:lineRule="auto"/>
        <w:ind w:left="720" w:hanging="720"/>
      </w:pPr>
      <w:r>
        <w:t>Treatment: the treatment for each sample. Control (Ctrl) or Heat-Treated (experimental, Exp).</w:t>
      </w:r>
    </w:p>
    <w:p w14:paraId="08A717C2" w14:textId="77777777" w:rsidR="00FE17AF" w:rsidRDefault="00FE17AF" w:rsidP="00FE17AF">
      <w:pPr>
        <w:spacing w:line="240" w:lineRule="auto"/>
        <w:ind w:left="720" w:hanging="720"/>
      </w:pPr>
    </w:p>
    <w:p w14:paraId="7CE4C104" w14:textId="218FF250" w:rsidR="00FE17AF" w:rsidRDefault="00FE17AF" w:rsidP="00FE17AF">
      <w:pPr>
        <w:spacing w:line="240" w:lineRule="auto"/>
        <w:ind w:left="720" w:hanging="720"/>
      </w:pPr>
      <w:r>
        <w:t>Week: the week number for each sample.</w:t>
      </w:r>
    </w:p>
    <w:p w14:paraId="4BD42733" w14:textId="77777777" w:rsidR="00FE17AF" w:rsidRDefault="00FE17AF" w:rsidP="00FE17AF">
      <w:pPr>
        <w:spacing w:line="240" w:lineRule="auto"/>
        <w:ind w:left="720" w:hanging="720"/>
      </w:pPr>
    </w:p>
    <w:p w14:paraId="40A6C0EC" w14:textId="541E39B7" w:rsidR="00FE17AF" w:rsidRDefault="00FE17AF" w:rsidP="00FE17AF">
      <w:pPr>
        <w:spacing w:line="240" w:lineRule="auto"/>
        <w:ind w:left="720" w:hanging="720"/>
      </w:pPr>
      <w:r>
        <w:t>R: the measured dark respiration value for each sample (</w:t>
      </w:r>
      <w:proofErr w:type="spellStart"/>
      <w:r>
        <w:t>μmol</w:t>
      </w:r>
      <w:proofErr w:type="spellEnd"/>
      <w:r>
        <w:t xml:space="preserve"> O</w:t>
      </w:r>
      <w:r w:rsidRPr="00FE17AF">
        <w:rPr>
          <w:vertAlign w:val="subscript"/>
        </w:rPr>
        <w:t>2</w:t>
      </w:r>
      <w:r>
        <w:t xml:space="preserve"> cm</w:t>
      </w:r>
      <w:r w:rsidRPr="00FE17AF">
        <w:rPr>
          <w:vertAlign w:val="superscript"/>
        </w:rPr>
        <w:t>-2</w:t>
      </w:r>
      <w:r>
        <w:t xml:space="preserve"> h</w:t>
      </w:r>
      <w:r w:rsidRPr="00FE17AF">
        <w:rPr>
          <w:vertAlign w:val="superscript"/>
        </w:rPr>
        <w:t>-1</w:t>
      </w:r>
      <w:r>
        <w:t>).</w:t>
      </w:r>
    </w:p>
    <w:p w14:paraId="061335CC" w14:textId="77777777" w:rsidR="00FE17AF" w:rsidRDefault="00FE17AF" w:rsidP="00FE17AF">
      <w:pPr>
        <w:spacing w:line="240" w:lineRule="auto"/>
        <w:ind w:left="720" w:hanging="720"/>
      </w:pPr>
    </w:p>
    <w:p w14:paraId="626EEFC2" w14:textId="1E25A5C9" w:rsidR="00FE17AF" w:rsidRDefault="00FE17AF" w:rsidP="00FE17AF">
      <w:pPr>
        <w:spacing w:line="240" w:lineRule="auto"/>
        <w:ind w:left="720" w:hanging="720"/>
      </w:pPr>
      <w:proofErr w:type="spellStart"/>
      <w:r>
        <w:t>Pnet</w:t>
      </w:r>
      <w:proofErr w:type="spellEnd"/>
      <w:r>
        <w:t>: the measured net photosynthesis for each sample (</w:t>
      </w:r>
      <w:proofErr w:type="spellStart"/>
      <w:r>
        <w:t>μmol</w:t>
      </w:r>
      <w:proofErr w:type="spellEnd"/>
      <w:r>
        <w:t xml:space="preserve"> O</w:t>
      </w:r>
      <w:r w:rsidRPr="00FE17AF">
        <w:rPr>
          <w:vertAlign w:val="subscript"/>
        </w:rPr>
        <w:t>2</w:t>
      </w:r>
      <w:r>
        <w:t xml:space="preserve"> cm</w:t>
      </w:r>
      <w:r w:rsidRPr="00FE17AF">
        <w:rPr>
          <w:vertAlign w:val="superscript"/>
        </w:rPr>
        <w:t>-2</w:t>
      </w:r>
      <w:r>
        <w:t xml:space="preserve"> h</w:t>
      </w:r>
      <w:r w:rsidRPr="00FE17AF">
        <w:rPr>
          <w:vertAlign w:val="superscript"/>
        </w:rPr>
        <w:t>-1</w:t>
      </w:r>
      <w:r>
        <w:t>).</w:t>
      </w:r>
    </w:p>
    <w:p w14:paraId="66B82B1E" w14:textId="77777777" w:rsidR="00FE17AF" w:rsidRDefault="00FE17AF" w:rsidP="00FE17AF">
      <w:pPr>
        <w:spacing w:line="240" w:lineRule="auto"/>
        <w:ind w:left="720" w:hanging="720"/>
      </w:pPr>
    </w:p>
    <w:p w14:paraId="38600E01" w14:textId="6D342A9B" w:rsidR="00FE17AF" w:rsidRDefault="00FE17AF" w:rsidP="00FE17AF">
      <w:pPr>
        <w:spacing w:line="240" w:lineRule="auto"/>
        <w:ind w:left="720" w:hanging="720"/>
      </w:pPr>
      <w:proofErr w:type="spellStart"/>
      <w:r>
        <w:t>Pgross</w:t>
      </w:r>
      <w:proofErr w:type="spellEnd"/>
      <w:r>
        <w:t>: the calculated gross photosynthesis for each sample (</w:t>
      </w:r>
      <w:proofErr w:type="spellStart"/>
      <w:r>
        <w:t>μmol</w:t>
      </w:r>
      <w:proofErr w:type="spellEnd"/>
      <w:r>
        <w:t xml:space="preserve"> O</w:t>
      </w:r>
      <w:r w:rsidRPr="00FE17AF">
        <w:rPr>
          <w:vertAlign w:val="subscript"/>
        </w:rPr>
        <w:t>2</w:t>
      </w:r>
      <w:r>
        <w:t xml:space="preserve"> cm</w:t>
      </w:r>
      <w:r w:rsidRPr="00FE17AF">
        <w:rPr>
          <w:vertAlign w:val="superscript"/>
        </w:rPr>
        <w:t>-2</w:t>
      </w:r>
      <w:r>
        <w:t xml:space="preserve"> h</w:t>
      </w:r>
      <w:r w:rsidRPr="00FE17AF">
        <w:rPr>
          <w:vertAlign w:val="superscript"/>
        </w:rPr>
        <w:t>-1</w:t>
      </w:r>
      <w:r>
        <w:t>).</w:t>
      </w:r>
    </w:p>
    <w:p w14:paraId="6D1EF34E" w14:textId="77777777" w:rsidR="00FE17AF" w:rsidRDefault="00FE17AF" w:rsidP="00FE17AF">
      <w:pPr>
        <w:spacing w:line="240" w:lineRule="auto"/>
        <w:ind w:left="720" w:hanging="720"/>
      </w:pPr>
    </w:p>
    <w:p w14:paraId="6ED972E1" w14:textId="5AF3F0C4" w:rsidR="00FE17AF" w:rsidRDefault="00FE17AF" w:rsidP="00FE17AF">
      <w:pPr>
        <w:spacing w:line="240" w:lineRule="auto"/>
        <w:ind w:left="720" w:hanging="720"/>
      </w:pPr>
      <w:r>
        <w:t>PRDAILY: the calculated net photosynthesis</w:t>
      </w:r>
      <w:r w:rsidR="003C722E">
        <w:t>: dark respiration ratio for each sample.</w:t>
      </w:r>
    </w:p>
    <w:p w14:paraId="021AD2B4" w14:textId="311FAF62" w:rsidR="00EB2A62" w:rsidRDefault="00EB2A62" w:rsidP="00FE17AF">
      <w:pPr>
        <w:spacing w:line="240" w:lineRule="auto"/>
        <w:ind w:left="720" w:hanging="720"/>
      </w:pPr>
    </w:p>
    <w:p w14:paraId="0E49321A" w14:textId="13AC024A" w:rsidR="00EB2A62" w:rsidRDefault="00EB2A62" w:rsidP="00FE17AF">
      <w:pPr>
        <w:spacing w:line="240" w:lineRule="auto"/>
        <w:ind w:left="720" w:hanging="720"/>
      </w:pPr>
      <w:r>
        <w:t>cells: the measured symbiont density (cells mL</w:t>
      </w:r>
      <w:r w:rsidRPr="00EB2A62">
        <w:rPr>
          <w:vertAlign w:val="superscript"/>
        </w:rPr>
        <w:t>-1</w:t>
      </w:r>
      <w:r>
        <w:t xml:space="preserve"> mm</w:t>
      </w:r>
      <w:r w:rsidRPr="00EB2A62">
        <w:rPr>
          <w:vertAlign w:val="superscript"/>
        </w:rPr>
        <w:t>-2</w:t>
      </w:r>
      <w:r>
        <w:t>) for each sample.</w:t>
      </w:r>
    </w:p>
    <w:p w14:paraId="545E0572" w14:textId="77777777" w:rsidR="003C722E" w:rsidRDefault="003C722E" w:rsidP="00FE17AF">
      <w:pPr>
        <w:spacing w:line="240" w:lineRule="auto"/>
        <w:ind w:left="720" w:hanging="720"/>
      </w:pPr>
    </w:p>
    <w:p w14:paraId="49A2A765" w14:textId="44B95D0D" w:rsidR="003C722E" w:rsidRDefault="00EB2A62" w:rsidP="00FE17AF">
      <w:pPr>
        <w:spacing w:line="240" w:lineRule="auto"/>
        <w:ind w:left="720" w:hanging="720"/>
      </w:pPr>
      <w:r>
        <w:t>Necrosis: a binary outcome indicating whether there was necrosis observed or not on the sample.</w:t>
      </w:r>
    </w:p>
    <w:p w14:paraId="6E86C3AD" w14:textId="77777777" w:rsidR="00EB2A62" w:rsidRDefault="00EB2A62" w:rsidP="00FE17AF">
      <w:pPr>
        <w:spacing w:line="240" w:lineRule="auto"/>
        <w:ind w:left="720" w:hanging="720"/>
      </w:pPr>
    </w:p>
    <w:p w14:paraId="027774DA" w14:textId="469BA31C" w:rsidR="00EB2A62" w:rsidRDefault="00EB2A62" w:rsidP="00FE17AF">
      <w:pPr>
        <w:spacing w:line="240" w:lineRule="auto"/>
        <w:ind w:left="720" w:hanging="720"/>
      </w:pPr>
      <w:proofErr w:type="spellStart"/>
      <w:r>
        <w:t>AvgT</w:t>
      </w:r>
      <w:proofErr w:type="spellEnd"/>
      <w:r>
        <w:t>: the average extension score (from 0 – fully retracted polyps to 3 – fully extended polyps with visible tentacles) over a 24-hour period.</w:t>
      </w:r>
    </w:p>
    <w:p w14:paraId="55C1635B" w14:textId="77777777" w:rsidR="00EB2A62" w:rsidRDefault="00EB2A62" w:rsidP="00FE17AF">
      <w:pPr>
        <w:spacing w:line="240" w:lineRule="auto"/>
        <w:ind w:left="720" w:hanging="720"/>
      </w:pPr>
    </w:p>
    <w:p w14:paraId="5CD5F130" w14:textId="18D7EEE4" w:rsidR="00EB2A62" w:rsidRDefault="00EB2A62" w:rsidP="00FE17AF">
      <w:pPr>
        <w:spacing w:line="240" w:lineRule="auto"/>
        <w:ind w:left="720" w:hanging="720"/>
      </w:pPr>
      <w:r>
        <w:t>Mortality: a binary outcome indicating whether the sample died or not.</w:t>
      </w:r>
    </w:p>
    <w:p w14:paraId="53C40992" w14:textId="77777777" w:rsidR="00EB2A62" w:rsidRDefault="00EB2A62" w:rsidP="00FE17AF">
      <w:pPr>
        <w:spacing w:line="240" w:lineRule="auto"/>
        <w:ind w:left="720" w:hanging="720"/>
      </w:pPr>
    </w:p>
    <w:sectPr w:rsidR="00EB2A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AF"/>
    <w:rsid w:val="00036BD7"/>
    <w:rsid w:val="0014108E"/>
    <w:rsid w:val="00247B1C"/>
    <w:rsid w:val="003C722E"/>
    <w:rsid w:val="0069638E"/>
    <w:rsid w:val="00751093"/>
    <w:rsid w:val="007637C7"/>
    <w:rsid w:val="00993436"/>
    <w:rsid w:val="00A10E61"/>
    <w:rsid w:val="00EB2A62"/>
    <w:rsid w:val="00ED749E"/>
    <w:rsid w:val="00F21B8C"/>
    <w:rsid w:val="00FE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AA3F"/>
  <w15:chartTrackingRefBased/>
  <w15:docId w15:val="{D1D3EF22-43A8-4041-8DA7-14FB9B1E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BD7"/>
    <w:pPr>
      <w:spacing w:after="0" w:line="480" w:lineRule="auto"/>
      <w:ind w:firstLine="425"/>
    </w:pPr>
    <w:rPr>
      <w:rFonts w:ascii="Garamond" w:hAnsi="Garamond" w:cs="Calibr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BD7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BD7"/>
    <w:pPr>
      <w:ind w:firstLine="0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BD7"/>
    <w:pPr>
      <w:keepNext/>
      <w:keepLines/>
      <w:spacing w:before="160" w:after="80"/>
      <w:outlineLvl w:val="2"/>
    </w:pPr>
    <w:rPr>
      <w:rFonts w:eastAsiaTheme="majorEastAsia" w:cstheme="majorBidi"/>
      <w:color w:val="F1269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F126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BD7"/>
    <w:pPr>
      <w:keepNext/>
      <w:keepLines/>
      <w:spacing w:before="80" w:after="40"/>
      <w:outlineLvl w:val="4"/>
    </w:pPr>
    <w:rPr>
      <w:rFonts w:eastAsiaTheme="majorEastAsia" w:cstheme="majorBidi"/>
      <w:color w:val="F126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BD7"/>
    <w:pPr>
      <w:keepNext/>
      <w:keepLines/>
      <w:spacing w:before="40"/>
      <w:outlineLvl w:val="5"/>
    </w:pPr>
    <w:rPr>
      <w:rFonts w:eastAsiaTheme="majorEastAsia" w:cstheme="majorBidi"/>
      <w:i/>
      <w:iCs/>
      <w:color w:val="6F6F6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BD7"/>
    <w:pPr>
      <w:keepNext/>
      <w:keepLines/>
      <w:spacing w:before="40"/>
      <w:outlineLvl w:val="6"/>
    </w:pPr>
    <w:rPr>
      <w:rFonts w:eastAsiaTheme="majorEastAsia" w:cstheme="majorBidi"/>
      <w:color w:val="6F6F6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BD7"/>
    <w:pPr>
      <w:keepNext/>
      <w:keepLines/>
      <w:outlineLvl w:val="7"/>
    </w:pPr>
    <w:rPr>
      <w:rFonts w:eastAsiaTheme="majorEastAsia" w:cstheme="majorBidi"/>
      <w:i/>
      <w:iCs/>
      <w:color w:val="43434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BD7"/>
    <w:pPr>
      <w:keepNext/>
      <w:keepLines/>
      <w:outlineLvl w:val="8"/>
    </w:pPr>
    <w:rPr>
      <w:rFonts w:eastAsiaTheme="majorEastAsia" w:cstheme="majorBidi"/>
      <w:color w:val="43434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BD7"/>
    <w:rPr>
      <w:rFonts w:ascii="Garamond" w:eastAsiaTheme="majorEastAsia" w:hAnsi="Garamond" w:cstheme="majorBidi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36BD7"/>
    <w:rPr>
      <w:rFonts w:ascii="Garamond" w:hAnsi="Garamond" w:cs="Calibri"/>
      <w:i/>
      <w:i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BD7"/>
    <w:rPr>
      <w:rFonts w:ascii="Garamond" w:eastAsiaTheme="majorEastAsia" w:hAnsi="Garamond" w:cstheme="majorBidi"/>
      <w:color w:val="F12690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BD7"/>
    <w:rPr>
      <w:rFonts w:ascii="Garamond" w:eastAsiaTheme="majorEastAsia" w:hAnsi="Garamond" w:cstheme="majorBidi"/>
      <w:i/>
      <w:iCs/>
      <w:color w:val="F12690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BD7"/>
    <w:rPr>
      <w:rFonts w:ascii="Garamond" w:eastAsiaTheme="majorEastAsia" w:hAnsi="Garamond" w:cstheme="majorBidi"/>
      <w:color w:val="F12690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BD7"/>
    <w:rPr>
      <w:rFonts w:ascii="Garamond" w:eastAsiaTheme="majorEastAsia" w:hAnsi="Garamond" w:cstheme="majorBidi"/>
      <w:i/>
      <w:iCs/>
      <w:color w:val="6F6F6F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BD7"/>
    <w:rPr>
      <w:rFonts w:ascii="Garamond" w:eastAsiaTheme="majorEastAsia" w:hAnsi="Garamond" w:cstheme="majorBidi"/>
      <w:color w:val="6F6F6F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BD7"/>
    <w:rPr>
      <w:rFonts w:ascii="Garamond" w:eastAsiaTheme="majorEastAsia" w:hAnsi="Garamond" w:cstheme="majorBidi"/>
      <w:i/>
      <w:iCs/>
      <w:color w:val="434343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BD7"/>
    <w:rPr>
      <w:rFonts w:ascii="Garamond" w:eastAsiaTheme="majorEastAsia" w:hAnsi="Garamond" w:cstheme="majorBidi"/>
      <w:color w:val="434343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3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B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BD7"/>
    <w:pPr>
      <w:numPr>
        <w:ilvl w:val="1"/>
      </w:numPr>
      <w:ind w:firstLine="425"/>
    </w:pPr>
    <w:rPr>
      <w:rFonts w:eastAsiaTheme="majorEastAsia" w:cstheme="majorBidi"/>
      <w:color w:val="6F6F6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BD7"/>
    <w:rPr>
      <w:rFonts w:ascii="Garamond" w:eastAsiaTheme="majorEastAsia" w:hAnsi="Garamond" w:cstheme="majorBidi"/>
      <w:color w:val="6F6F6F" w:themeColor="text1" w:themeTint="A6"/>
      <w:spacing w:val="15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036BD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36BD7"/>
    <w:pPr>
      <w:spacing w:before="160"/>
      <w:jc w:val="center"/>
    </w:pPr>
    <w:rPr>
      <w:i/>
      <w:iCs/>
      <w:color w:val="595959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BD7"/>
    <w:rPr>
      <w:rFonts w:ascii="Garamond" w:hAnsi="Garamond" w:cs="Calibri"/>
      <w:i/>
      <w:iCs/>
      <w:color w:val="595959" w:themeColor="text1" w:themeTint="BF"/>
      <w:kern w:val="0"/>
      <w:sz w:val="24"/>
      <w:szCs w:val="24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BD7"/>
    <w:pPr>
      <w:pBdr>
        <w:top w:val="single" w:sz="4" w:space="10" w:color="F12690" w:themeColor="accent1" w:themeShade="BF"/>
        <w:bottom w:val="single" w:sz="4" w:space="10" w:color="F12690" w:themeColor="accent1" w:themeShade="BF"/>
      </w:pBdr>
      <w:spacing w:before="360" w:after="360"/>
      <w:ind w:left="864" w:right="864"/>
      <w:jc w:val="center"/>
    </w:pPr>
    <w:rPr>
      <w:i/>
      <w:iCs/>
      <w:color w:val="F1269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BD7"/>
    <w:rPr>
      <w:rFonts w:ascii="Garamond" w:hAnsi="Garamond" w:cs="Calibri"/>
      <w:i/>
      <w:iCs/>
      <w:color w:val="F12690" w:themeColor="accent1" w:themeShade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36BD7"/>
    <w:rPr>
      <w:i/>
      <w:iCs/>
      <w:color w:val="F1269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BD7"/>
    <w:rPr>
      <w:b/>
      <w:bCs/>
      <w:smallCaps/>
      <w:color w:val="F12690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72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72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722E"/>
    <w:rPr>
      <w:rFonts w:ascii="Garamond" w:hAnsi="Garamond" w:cs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72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722E"/>
    <w:rPr>
      <w:rFonts w:ascii="Garamond" w:hAnsi="Garamond" w:cs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22222"/>
      </a:dk1>
      <a:lt1>
        <a:sysClr val="window" lastClr="FFFFFF"/>
      </a:lt1>
      <a:dk2>
        <a:srgbClr val="222222"/>
      </a:dk2>
      <a:lt2>
        <a:srgbClr val="E8E8E8"/>
      </a:lt2>
      <a:accent1>
        <a:srgbClr val="F77FBE"/>
      </a:accent1>
      <a:accent2>
        <a:srgbClr val="66C7F4"/>
      </a:accent2>
      <a:accent3>
        <a:srgbClr val="F4B942"/>
      </a:accent3>
      <a:accent4>
        <a:srgbClr val="606C38"/>
      </a:accent4>
      <a:accent5>
        <a:srgbClr val="4F345A"/>
      </a:accent5>
      <a:accent6>
        <a:srgbClr val="222222"/>
      </a:accent6>
      <a:hlink>
        <a:srgbClr val="222222"/>
      </a:hlink>
      <a:folHlink>
        <a:srgbClr val="22222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Keegan Lutek</dc:creator>
  <cp:keywords/>
  <dc:description/>
  <cp:lastModifiedBy>Keegan Lutek</cp:lastModifiedBy>
  <cp:revision>3</cp:revision>
  <dcterms:created xsi:type="dcterms:W3CDTF">2026-07-15T13:48:00Z</dcterms:created>
  <dcterms:modified xsi:type="dcterms:W3CDTF">2026-07-16T16:40:00Z</dcterms:modified>
</cp:coreProperties>
</file>