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72AA" w14:textId="6DB2018B" w:rsidR="00B048CC" w:rsidRDefault="00171095">
      <w:r>
        <w:t>En cuanto a la organización y funcionalidad del desarrollo de objetos.</w:t>
      </w:r>
    </w:p>
    <w:p w14:paraId="5A4A92EB" w14:textId="77777777" w:rsidR="00171095" w:rsidRDefault="00171095"/>
    <w:p w14:paraId="7FFD060D" w14:textId="3AA11C7A" w:rsidR="00171095" w:rsidRDefault="00171095">
      <w:r>
        <w:t>En la ‘lista de objetos’ lo tenemos enumerados, a partir de ahí con la enumeración vamos a desarrollar cada uno por separado. La organización es muy simplista porque todo ‘1 C-E’ va a ser cambiado de todas formas.</w:t>
      </w:r>
    </w:p>
    <w:sectPr w:rsidR="00171095" w:rsidSect="001710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47D"/>
    <w:rsid w:val="00171095"/>
    <w:rsid w:val="007A3AF8"/>
    <w:rsid w:val="0095247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A156"/>
  <w15:chartTrackingRefBased/>
  <w15:docId w15:val="{58026F90-FBE2-4669-84CF-58D666D6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4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4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4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4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4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4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4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4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4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4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2025-05-23T11:38:00Z</dcterms:created>
  <dcterms:modified xsi:type="dcterms:W3CDTF">2025-05-23T11:40:00Z</dcterms:modified>
</cp:coreProperties>
</file>