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D091" w14:textId="22EC6371" w:rsidR="00B048CC" w:rsidRDefault="00FA022D">
      <w:r>
        <w:t>Enfoque matemático</w:t>
      </w:r>
    </w:p>
    <w:p w14:paraId="286DE40B" w14:textId="64DACF5A" w:rsidR="00FA022D" w:rsidRDefault="00FA022D">
      <w:r>
        <w:t>1. Correspondencia unívoca</w:t>
      </w:r>
    </w:p>
    <w:sectPr w:rsidR="00FA022D" w:rsidSect="00FA022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78D"/>
    <w:rsid w:val="000672D2"/>
    <w:rsid w:val="006A278D"/>
    <w:rsid w:val="00AA43E3"/>
    <w:rsid w:val="00B048CC"/>
    <w:rsid w:val="00F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32F"/>
  <w15:chartTrackingRefBased/>
  <w15:docId w15:val="{CAB99273-750C-4447-AFC0-36669674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7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7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7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7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2025-08-25T05:44:00Z</dcterms:created>
  <dcterms:modified xsi:type="dcterms:W3CDTF">2025-08-25T05:44:00Z</dcterms:modified>
</cp:coreProperties>
</file>