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A70F" w14:textId="257AF6F5" w:rsidR="00536BBA" w:rsidRDefault="00546089">
      <w:r>
        <w:t>Enfoque general</w:t>
      </w:r>
    </w:p>
    <w:p w14:paraId="14E5FB18" w14:textId="61642206" w:rsidR="00546089" w:rsidRDefault="00546089">
      <w:r>
        <w:t>1. Que está tocando a otra cosa</w:t>
      </w:r>
    </w:p>
    <w:sectPr w:rsidR="0054608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84"/>
    <w:rsid w:val="001168ED"/>
    <w:rsid w:val="00536BBA"/>
    <w:rsid w:val="00546089"/>
    <w:rsid w:val="007D38C8"/>
    <w:rsid w:val="007F7F84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EB915C"/>
  <w15:chartTrackingRefBased/>
  <w15:docId w15:val="{8756C6AE-6952-4861-AC43-F3564FF5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7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7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7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7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F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F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F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F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F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F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2025-09-26T22:16:00Z</dcterms:created>
  <dcterms:modified xsi:type="dcterms:W3CDTF">2025-09-26T22:16:00Z</dcterms:modified>
</cp:coreProperties>
</file>