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28780" w14:textId="0EF1CD0E" w:rsidR="00C53450" w:rsidRDefault="00E45A9D">
      <w:r>
        <w:t>Enfoque de investigación/ciencia</w:t>
      </w:r>
    </w:p>
    <w:p w14:paraId="752E910E" w14:textId="5A6BEBF5" w:rsidR="00E45A9D" w:rsidRDefault="00E45A9D" w:rsidP="00E45A9D">
      <w:r>
        <w:t>(las 1, 2 de la acepción 1)</w:t>
      </w:r>
    </w:p>
    <w:p w14:paraId="5C4C8F26" w14:textId="1637DFE2" w:rsidR="00E45A9D" w:rsidRDefault="00E45A9D" w:rsidP="00E45A9D">
      <w:r>
        <w:t>1. Capacidad y disposición para el buen desempeño o ejercicio de un negocio, de una industria, de un arte, etc. *usado también en plural con el mismo significado que en singular* (plural y singular = como conjunto)</w:t>
      </w:r>
    </w:p>
    <w:p w14:paraId="4174AE4A" w14:textId="714BEBCD" w:rsidR="0043517C" w:rsidRDefault="0043517C" w:rsidP="00E45A9D">
      <w:r>
        <w:t>2. ‘Aptitud intelectual/de investigación’: Tomando de referencia definiciones anteriores., Capacidades pasivas y siempre activas a la hora de hacer razonamientos racionales y sistemáticas/investigaciones; se distinguen de las ‘actividades de investigación’ o ‘capacidades de investigación’ porque estás son intuitivas (aunque también tienen variaciones o tipos exclusivos según disciplina o enfoque teóricamente hablando).</w:t>
      </w:r>
    </w:p>
    <w:sectPr w:rsidR="0043517C" w:rsidSect="00E45A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8231D"/>
    <w:multiLevelType w:val="hybridMultilevel"/>
    <w:tmpl w:val="AEB8431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699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450"/>
    <w:rsid w:val="0043517C"/>
    <w:rsid w:val="006B38E5"/>
    <w:rsid w:val="00A30F48"/>
    <w:rsid w:val="00C53450"/>
    <w:rsid w:val="00E4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18E89C"/>
  <w15:chartTrackingRefBased/>
  <w15:docId w15:val="{9726A2D4-FE90-4E62-B397-3D8108E17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3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3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3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3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3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3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3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3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3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3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3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3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3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34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3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34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3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3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3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3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3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3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3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3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3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3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3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3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3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592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2025-09-07T13:40:00Z</dcterms:created>
  <dcterms:modified xsi:type="dcterms:W3CDTF">2025-09-10T15:54:00Z</dcterms:modified>
</cp:coreProperties>
</file>