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128A" w14:textId="532916B6" w:rsidR="00BC6510" w:rsidRDefault="00F32350">
      <w:r>
        <w:t>Enfoque general</w:t>
      </w:r>
    </w:p>
    <w:p w14:paraId="7A857327" w14:textId="336337FB" w:rsidR="00F32350" w:rsidRDefault="00F32350" w:rsidP="00F32350">
      <w:r>
        <w:t>1. Cualidad de capaz</w:t>
      </w:r>
    </w:p>
    <w:sectPr w:rsidR="00F32350" w:rsidSect="00F323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A075E"/>
    <w:multiLevelType w:val="hybridMultilevel"/>
    <w:tmpl w:val="572CC05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52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10"/>
    <w:rsid w:val="006B38E5"/>
    <w:rsid w:val="00BC6510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75742"/>
  <w15:chartTrackingRefBased/>
  <w15:docId w15:val="{31BE9A44-F938-4FC2-B1F2-DECDAEF7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5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5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5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2025-09-07T23:16:00Z</dcterms:created>
  <dcterms:modified xsi:type="dcterms:W3CDTF">2025-09-07T23:16:00Z</dcterms:modified>
</cp:coreProperties>
</file>