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E6522" w14:textId="4AFC47B4" w:rsidR="00B048CC" w:rsidRDefault="00BB548D">
      <w:r>
        <w:t>Enfoque científico/general</w:t>
      </w:r>
    </w:p>
    <w:p w14:paraId="7BA30C00" w14:textId="65707714" w:rsidR="00BB548D" w:rsidRDefault="00BB548D">
      <w:r>
        <w:t>1. Acuerdo o pacto</w:t>
      </w:r>
    </w:p>
    <w:sectPr w:rsidR="00BB548D" w:rsidSect="00BB548D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A67F9"/>
    <w:rsid w:val="009A67F9"/>
    <w:rsid w:val="00AA43E3"/>
    <w:rsid w:val="00B048CC"/>
    <w:rsid w:val="00BB548D"/>
    <w:rsid w:val="00E16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6028B"/>
  <w15:chartTrackingRefBased/>
  <w15:docId w15:val="{29600AB8-62A8-427B-B657-9135E40DD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A67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A67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A67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67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67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67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67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67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67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67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A67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A67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67F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67F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67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67F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67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67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A67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A67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A67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A67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A67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A67F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A67F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A67F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67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67F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A67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39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2025-08-22T21:26:00Z</dcterms:created>
  <dcterms:modified xsi:type="dcterms:W3CDTF">2025-08-22T21:26:00Z</dcterms:modified>
</cp:coreProperties>
</file>