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13B5" w14:textId="4FD27277" w:rsidR="00B048CC" w:rsidRDefault="009D6088">
      <w:r>
        <w:t>Enfoque generalizado</w:t>
      </w:r>
    </w:p>
    <w:p w14:paraId="1F322F92" w14:textId="274C83EF" w:rsidR="009D6088" w:rsidRDefault="009D6088">
      <w:r>
        <w:t>1. Como el acto de crear un ejemplo del mundo real (una instancia) de una idea general, plano o abstracción.</w:t>
      </w:r>
    </w:p>
    <w:sectPr w:rsidR="009D6088" w:rsidSect="009D608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610"/>
    <w:rsid w:val="00333610"/>
    <w:rsid w:val="008338E2"/>
    <w:rsid w:val="009D608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4257"/>
  <w15:chartTrackingRefBased/>
  <w15:docId w15:val="{4690D862-AB71-44CA-BF5E-69A22EBD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6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6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6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6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6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6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2025-08-29T16:06:00Z</dcterms:created>
  <dcterms:modified xsi:type="dcterms:W3CDTF">2025-08-29T16:07:00Z</dcterms:modified>
</cp:coreProperties>
</file>