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AA9B" w14:textId="393A59E7" w:rsidR="00B048CC" w:rsidRDefault="00645562">
      <w:r>
        <w:t>Acepción en la filosofía de la ciencia</w:t>
      </w:r>
    </w:p>
    <w:p w14:paraId="71887548" w14:textId="0FA63FDC" w:rsidR="00645562" w:rsidRDefault="00645562">
      <w:r>
        <w:t>Por parte de ‘Thomas Kuhn’:</w:t>
      </w:r>
    </w:p>
    <w:sectPr w:rsidR="00645562" w:rsidSect="0064556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6E05"/>
    <w:rsid w:val="00645562"/>
    <w:rsid w:val="00656E05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7A26"/>
  <w15:chartTrackingRefBased/>
  <w15:docId w15:val="{2829F1C3-4EC8-4EE3-A99D-DA82B3BD9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6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6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6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6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6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6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6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6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6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6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6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6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6E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6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6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6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6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6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6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6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6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6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6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6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6E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6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6E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6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2025-08-21T16:21:00Z</dcterms:created>
  <dcterms:modified xsi:type="dcterms:W3CDTF">2025-08-21T16:22:00Z</dcterms:modified>
</cp:coreProperties>
</file>