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CCF7" w14:textId="232EB72A" w:rsidR="00EC584D" w:rsidRDefault="00B13912">
      <w:r>
        <w:t>Enfoque general</w:t>
      </w:r>
    </w:p>
    <w:p w14:paraId="68BFB0A4" w14:textId="56517F03" w:rsidR="00B13912" w:rsidRDefault="00B13912">
      <w:r>
        <w:t>1. Perteneciente o relativo a la totalidad de un sistema; general, por oposición a local.</w:t>
      </w:r>
    </w:p>
    <w:sectPr w:rsidR="00B13912" w:rsidSect="00B139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4D"/>
    <w:rsid w:val="006B38E5"/>
    <w:rsid w:val="00B13912"/>
    <w:rsid w:val="00EC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79D67"/>
  <w15:chartTrackingRefBased/>
  <w15:docId w15:val="{4B479E33-DFCE-4321-B02F-0A8206B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2025-09-07T20:30:00Z</dcterms:created>
  <dcterms:modified xsi:type="dcterms:W3CDTF">2025-09-07T20:32:00Z</dcterms:modified>
</cp:coreProperties>
</file>