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10D2" w14:textId="7B8E7C14" w:rsidR="00B048CC" w:rsidRDefault="00A272EC">
      <w:r>
        <w:t>Enfoque literario forma escrita</w:t>
      </w:r>
    </w:p>
    <w:p w14:paraId="05BB68CC" w14:textId="0FD51814" w:rsidR="00A272EC" w:rsidRDefault="00A272EC">
      <w:r>
        <w:t>1. Manuscrito anterior a la invención de la imprenta</w:t>
      </w:r>
    </w:p>
    <w:sectPr w:rsidR="00A272EC" w:rsidSect="00A272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2C2"/>
    <w:rsid w:val="004B4C26"/>
    <w:rsid w:val="00A272EC"/>
    <w:rsid w:val="00AA43E3"/>
    <w:rsid w:val="00B048CC"/>
    <w:rsid w:val="00CD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9C51"/>
  <w15:chartTrackingRefBased/>
  <w15:docId w15:val="{BF8F7EED-1A86-4DE4-BD0B-E1EADBE3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1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1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2025-08-28T03:56:00Z</dcterms:created>
  <dcterms:modified xsi:type="dcterms:W3CDTF">2025-08-28T03:57:00Z</dcterms:modified>
</cp:coreProperties>
</file>