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5042" w14:textId="7F4CC97C" w:rsidR="00B048CC" w:rsidRDefault="002B0593">
      <w:r>
        <w:t>Enfoque literario forma escrita</w:t>
      </w:r>
    </w:p>
    <w:p w14:paraId="3DE9B731" w14:textId="34557033" w:rsidR="002B0593" w:rsidRDefault="002B0593">
      <w:r>
        <w:t xml:space="preserve">1. </w:t>
      </w:r>
      <w:r w:rsidRPr="002B0593">
        <w:t>Última parte de una obra, en la que se refieren hechos posteriores a los recogidos en ella o reflexiones relacionadas con su tema central.</w:t>
      </w:r>
    </w:p>
    <w:sectPr w:rsidR="002B0593" w:rsidSect="002B059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280"/>
    <w:rsid w:val="002B0593"/>
    <w:rsid w:val="00422280"/>
    <w:rsid w:val="00A722D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D92B"/>
  <w15:chartTrackingRefBased/>
  <w15:docId w15:val="{C0F85770-DDCD-4C15-B3D2-9C2F3902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148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2025-08-29T01:44:00Z</dcterms:created>
  <dcterms:modified xsi:type="dcterms:W3CDTF">2025-08-29T01:46:00Z</dcterms:modified>
</cp:coreProperties>
</file>