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9635" w14:textId="32A84792" w:rsidR="00B048CC" w:rsidRDefault="004463F0">
      <w:r>
        <w:t>Enfoque literario forma escrita</w:t>
      </w:r>
    </w:p>
    <w:p w14:paraId="16FEDC6D" w14:textId="6162F312" w:rsidR="004463F0" w:rsidRDefault="004463F0">
      <w:r>
        <w:t>1. E</w:t>
      </w:r>
      <w:r w:rsidRPr="004463F0">
        <w:t>xordio de un discurso o preámbulo de una obra literaria o científica.</w:t>
      </w:r>
    </w:p>
    <w:sectPr w:rsidR="004463F0" w:rsidSect="004463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D29"/>
    <w:rsid w:val="00410D29"/>
    <w:rsid w:val="004463F0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C847"/>
  <w15:chartTrackingRefBased/>
  <w15:docId w15:val="{74122553-DCE5-413C-A938-29E1920D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2025-08-29T01:43:00Z</dcterms:created>
  <dcterms:modified xsi:type="dcterms:W3CDTF">2025-08-29T01:43:00Z</dcterms:modified>
</cp:coreProperties>
</file>