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2A1F" w14:textId="0F4AACB9" w:rsidR="002D738A" w:rsidRDefault="002D738A">
      <w:r>
        <w:t>Enfoque literario forma escrita</w:t>
      </w:r>
    </w:p>
    <w:p w14:paraId="71ABDA06" w14:textId="27B00747" w:rsidR="002D738A" w:rsidRDefault="002D738A">
      <w:r>
        <w:t>1. Constituye siempre una parte de una obra, siendo los tomos (si hay tomos, hay más de 1) con paginación propia y encuadernadas por lo común separadamente y que es para el más fácil manejo de ciertas obras impresas o manuscritas con tal extensión.</w:t>
      </w:r>
    </w:p>
    <w:sectPr w:rsidR="002D738A" w:rsidSect="002D73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1C8"/>
    <w:rsid w:val="002D738A"/>
    <w:rsid w:val="004B4C26"/>
    <w:rsid w:val="008101C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1F2F"/>
  <w15:chartTrackingRefBased/>
  <w15:docId w15:val="{FED852F6-75EC-44B3-BDBA-8D0035EB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2025-08-28T03:41:00Z</dcterms:created>
  <dcterms:modified xsi:type="dcterms:W3CDTF">2025-08-28T03:43:00Z</dcterms:modified>
</cp:coreProperties>
</file>