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771DA" w14:textId="59F4A4BD" w:rsidR="003C2052" w:rsidRDefault="00470ABA">
      <w:r>
        <w:t>Enfoque medico</w:t>
      </w:r>
    </w:p>
    <w:p w14:paraId="3174ECC6" w14:textId="3D9BE6E6" w:rsidR="00470ABA" w:rsidRDefault="00470ABA">
      <w:r>
        <w:t>1. Análisis clínico</w:t>
      </w:r>
    </w:p>
    <w:sectPr w:rsidR="00470ABA" w:rsidSect="00470A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52"/>
    <w:rsid w:val="003C2052"/>
    <w:rsid w:val="00470ABA"/>
    <w:rsid w:val="00A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1A5013"/>
  <w15:chartTrackingRefBased/>
  <w15:docId w15:val="{132C0157-39A8-4A02-A789-8CC1B33C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2025-09-03T23:16:00Z</dcterms:created>
  <dcterms:modified xsi:type="dcterms:W3CDTF">2025-09-03T23:16:00Z</dcterms:modified>
</cp:coreProperties>
</file>