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C81A0" w14:textId="23DE170C" w:rsidR="00B048CC" w:rsidRDefault="00390F91">
      <w:r>
        <w:t>Enfoque lingüístico general</w:t>
      </w:r>
    </w:p>
    <w:p w14:paraId="62C81155" w14:textId="1A526320" w:rsidR="00390F91" w:rsidRDefault="00390F91">
      <w:r>
        <w:t>1. Unidad de habla de un texto que tiene sentido completo por si mismo y por lo tanto, se puede obtener información (Similar a lo que es una oración)</w:t>
      </w:r>
    </w:p>
    <w:sectPr w:rsidR="00390F91" w:rsidSect="00390F9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0B1F"/>
    <w:rsid w:val="00390F91"/>
    <w:rsid w:val="0058056B"/>
    <w:rsid w:val="00640B1F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4BADC"/>
  <w15:chartTrackingRefBased/>
  <w15:docId w15:val="{83922E5E-D1CD-4C3B-BC5E-B9DFD6F58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0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0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0B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0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0B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0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0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0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0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0B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0B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0B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0B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0B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0B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0B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0B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0B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0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0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0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0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0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0B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0B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0B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0B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0B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0B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</Words>
  <Characters>151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2025-08-31T18:07:00Z</dcterms:created>
  <dcterms:modified xsi:type="dcterms:W3CDTF">2025-08-31T18:09:00Z</dcterms:modified>
</cp:coreProperties>
</file>