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A448" w14:textId="744DAC63" w:rsidR="00B048CC" w:rsidRDefault="00CF41F6">
      <w:r>
        <w:t>Todo lo hecho en apuntes con lo que respecta a los razonamientos le confiere la parte 3 de ‘1_desa’, las conclusiones le confiere la parte 2 de ‘1_desa’ y el mapa no se ha hecho por motivos opcionales.</w:t>
      </w:r>
    </w:p>
    <w:sectPr w:rsidR="00B048CC" w:rsidSect="00C726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4D4"/>
    <w:rsid w:val="00776520"/>
    <w:rsid w:val="00AA43E3"/>
    <w:rsid w:val="00B048CC"/>
    <w:rsid w:val="00C726DF"/>
    <w:rsid w:val="00CA04D4"/>
    <w:rsid w:val="00C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91E9"/>
  <w15:chartTrackingRefBased/>
  <w15:docId w15:val="{CA0DCB08-CEBB-4071-BF84-7D6895F5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4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4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4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4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4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4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2025-07-18T19:15:00Z</dcterms:created>
  <dcterms:modified xsi:type="dcterms:W3CDTF">2025-07-18T20:36:00Z</dcterms:modified>
</cp:coreProperties>
</file>