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EC6A" w14:textId="18753F8F" w:rsidR="00B048CC" w:rsidRDefault="00C81518">
      <w:r>
        <w:t>En cualquier lugar donde se use el ‘codice’ se va a emplear una carpeta llamada ‘co_m’</w:t>
      </w:r>
    </w:p>
    <w:p w14:paraId="4C62169D" w14:textId="60B5C89F" w:rsidR="00C81518" w:rsidRDefault="00C81518">
      <w:r>
        <w:t>‘co_p’ = Códice presente &gt; Tanto fuentes como materiales se van a materializar para ser documentados y usados a la mano en un posible repaso.</w:t>
      </w:r>
    </w:p>
    <w:sectPr w:rsidR="00C81518" w:rsidSect="00C815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D06"/>
    <w:rsid w:val="00050D06"/>
    <w:rsid w:val="00776520"/>
    <w:rsid w:val="00AA43E3"/>
    <w:rsid w:val="00B048CC"/>
    <w:rsid w:val="00C8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A8D1"/>
  <w15:chartTrackingRefBased/>
  <w15:docId w15:val="{694C9184-285C-42DF-9DC6-52D9724E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D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D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D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D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D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D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D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2025-07-14T17:50:00Z</dcterms:created>
  <dcterms:modified xsi:type="dcterms:W3CDTF">2025-07-14T17:52:00Z</dcterms:modified>
</cp:coreProperties>
</file>