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7D11" w14:textId="77777777" w:rsidR="003945FF" w:rsidRDefault="003945FF" w:rsidP="003945FF">
      <w:r>
        <w:t>Con lo que respecta a la organización/estructuración</w:t>
      </w:r>
    </w:p>
    <w:p w14:paraId="0F56B9AA" w14:textId="77777777" w:rsidR="003945FF" w:rsidRDefault="003945FF" w:rsidP="003945FF"/>
    <w:p w14:paraId="0D1D62FC" w14:textId="77777777" w:rsidR="003945FF" w:rsidRDefault="003945FF" w:rsidP="003945FF">
      <w:r>
        <w:t>En primera instancia, hay que proyectar nuestro uso en algo más práctico con el tiempo, ambos temarios (</w:t>
      </w:r>
      <w:proofErr w:type="spellStart"/>
      <w:r>
        <w:t>tl</w:t>
      </w:r>
      <w:proofErr w:type="spellEnd"/>
      <w:r>
        <w:t xml:space="preserve"> o </w:t>
      </w:r>
      <w:proofErr w:type="spellStart"/>
      <w:r>
        <w:t>tc</w:t>
      </w:r>
      <w:proofErr w:type="spellEnd"/>
      <w:r>
        <w:t xml:space="preserve">) se han hecho para ser </w:t>
      </w:r>
      <w:proofErr w:type="gramStart"/>
      <w:r w:rsidRPr="00001207">
        <w:rPr>
          <w:highlight w:val="yellow"/>
        </w:rPr>
        <w:t>usados</w:t>
      </w:r>
      <w:proofErr w:type="gramEnd"/>
      <w:r>
        <w:t xml:space="preserve"> pero se va a usar el esquema anterior de ‘temarios’ que se hizo con el anterior Método de estudio. Para solucionar esto, en 1_1 </w:t>
      </w:r>
      <w:r w:rsidRPr="00001207">
        <w:rPr>
          <w:highlight w:val="yellow"/>
        </w:rPr>
        <w:t>se le ha correspondido 2 tipos de uso a temarios lineales y compuestos</w:t>
      </w:r>
      <w:r w:rsidRPr="00001207">
        <w:t>.</w:t>
      </w:r>
      <w:r>
        <w:t xml:space="preserve"> </w:t>
      </w:r>
    </w:p>
    <w:p w14:paraId="3B6B282D" w14:textId="77777777" w:rsidR="003945FF" w:rsidRDefault="003945FF" w:rsidP="003945FF">
      <w:r>
        <w:t xml:space="preserve">Como hemos dicho, los temarios (sea </w:t>
      </w:r>
      <w:proofErr w:type="spellStart"/>
      <w:r>
        <w:t>tl</w:t>
      </w:r>
      <w:proofErr w:type="spellEnd"/>
      <w:r>
        <w:t xml:space="preserve"> o </w:t>
      </w:r>
      <w:proofErr w:type="spellStart"/>
      <w:r>
        <w:t>tc</w:t>
      </w:r>
      <w:proofErr w:type="spellEnd"/>
      <w:r>
        <w:t xml:space="preserve">) a nivel preuniversitario poseen siempre 2 materias: Ciencias y Humanidades. </w:t>
      </w:r>
      <w:r w:rsidRPr="00BA03BE">
        <w:rPr>
          <w:highlight w:val="yellow"/>
        </w:rPr>
        <w:t>La diferencia</w:t>
      </w:r>
      <w:r>
        <w:t xml:space="preserve"> entre temarios lineales y compuestos es que los </w:t>
      </w:r>
      <w:r w:rsidRPr="00BA03BE">
        <w:rPr>
          <w:b/>
          <w:bCs/>
        </w:rPr>
        <w:t>temarios compuestos no tienen límite de materias</w:t>
      </w:r>
      <w:r>
        <w:t xml:space="preserve"> mientras que </w:t>
      </w:r>
      <w:r w:rsidRPr="00BA03BE">
        <w:rPr>
          <w:b/>
          <w:bCs/>
        </w:rPr>
        <w:t>los lineales son los que siempre poseen dichas 2 materias el 100% de las ocasiones</w:t>
      </w:r>
      <w:r>
        <w:t>.</w:t>
      </w:r>
    </w:p>
    <w:p w14:paraId="43CA1E86" w14:textId="5BED3960" w:rsidR="00A46C31" w:rsidRDefault="00A46C31"/>
    <w:sectPr w:rsidR="00A46C31" w:rsidSect="00BA03B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5BF"/>
    <w:rsid w:val="00001207"/>
    <w:rsid w:val="00043890"/>
    <w:rsid w:val="001B05BF"/>
    <w:rsid w:val="001D6953"/>
    <w:rsid w:val="002F1E71"/>
    <w:rsid w:val="003945FF"/>
    <w:rsid w:val="004532C6"/>
    <w:rsid w:val="007A3AF8"/>
    <w:rsid w:val="00A46C31"/>
    <w:rsid w:val="00AA43E3"/>
    <w:rsid w:val="00B048CC"/>
    <w:rsid w:val="00BA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57DE"/>
  <w15:chartTrackingRefBased/>
  <w15:docId w15:val="{1509B0E3-694A-4AFB-98CD-DFFB8967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5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5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5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5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2025-06-04T22:19:00Z</dcterms:created>
  <dcterms:modified xsi:type="dcterms:W3CDTF">2025-06-09T04:27:00Z</dcterms:modified>
</cp:coreProperties>
</file>