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E02D" w14:textId="1D46E291" w:rsidR="00B048CC" w:rsidRDefault="00B32B75">
      <w:r>
        <w:t>Características vacías</w:t>
      </w:r>
    </w:p>
    <w:p w14:paraId="1EBDAA50" w14:textId="6A5AED3E" w:rsidR="00B32B75" w:rsidRDefault="00B32B75">
      <w:r>
        <w:t>Que no tienen mayor trascendencia/complejidad aparente</w:t>
      </w:r>
    </w:p>
    <w:p w14:paraId="32AF7561" w14:textId="4F9421BE" w:rsidR="00B32B75" w:rsidRDefault="00B32B75">
      <w:r>
        <w:t>1. IRL</w:t>
      </w:r>
      <w:r>
        <w:t xml:space="preserve">: En el </w:t>
      </w:r>
      <w:r w:rsidRPr="0003263D">
        <w:rPr>
          <w:highlight w:val="yellow"/>
        </w:rPr>
        <w:t>objeto ‘unidades/versos’</w:t>
      </w:r>
      <w:r>
        <w:t xml:space="preserve"> también podemos añadir lo que es la vida real cuando se trata de ‘powerscaling’.</w:t>
      </w:r>
      <w:r>
        <w:t xml:space="preserve"> Podría ir en ‘1_2’ pero el tema de disciplinas y habilidades es algo que tenemos en cuenta.</w:t>
      </w:r>
      <w:r w:rsidR="000F1CB1">
        <w:t xml:space="preserve"> Dicha aplicación se representada con el documento ‘irl’</w:t>
      </w:r>
    </w:p>
    <w:sectPr w:rsidR="00B32B75" w:rsidSect="00B32B7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770"/>
    <w:rsid w:val="000F1CB1"/>
    <w:rsid w:val="005D3770"/>
    <w:rsid w:val="007A3AF8"/>
    <w:rsid w:val="00AA43E3"/>
    <w:rsid w:val="00B048CC"/>
    <w:rsid w:val="00B3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3A19A"/>
  <w15:chartTrackingRefBased/>
  <w15:docId w15:val="{CFCEC6DD-24C8-4A34-A30D-EEF20371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7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7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7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7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7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7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2025-06-13T02:21:00Z</dcterms:created>
  <dcterms:modified xsi:type="dcterms:W3CDTF">2025-06-13T02:22:00Z</dcterms:modified>
</cp:coreProperties>
</file>