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7A44" w14:textId="13886E91" w:rsidR="00B048CC" w:rsidRDefault="00F01CAC">
      <w:r>
        <w:t xml:space="preserve">1. Objetos de estudio: En definición con lo que consta el ‘powerscaling’, </w:t>
      </w:r>
      <w:r w:rsidR="00A41F94">
        <w:t xml:space="preserve">abarca múltiples cuestiones que pueden </w:t>
      </w:r>
      <w:r w:rsidR="00A41F94" w:rsidRPr="00A41F94">
        <w:rPr>
          <w:highlight w:val="yellow"/>
        </w:rPr>
        <w:t>involucrar tanto elementos como características</w:t>
      </w:r>
      <w:r w:rsidR="00A41F94">
        <w:t xml:space="preserve"> </w:t>
      </w:r>
      <w:r w:rsidR="00A41F94" w:rsidRPr="00A41F94">
        <w:rPr>
          <w:color w:val="FF0000"/>
        </w:rPr>
        <w:t>ya existentes</w:t>
      </w:r>
      <w:r w:rsidR="00A41F94">
        <w:t>. Pero que no están resueltos (consenso), una vez resueltos, pueden ser documentados en su respectivo lugar de origen.</w:t>
      </w:r>
    </w:p>
    <w:sectPr w:rsidR="00B048CC" w:rsidSect="00F01C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E77"/>
    <w:rsid w:val="007A3AF8"/>
    <w:rsid w:val="00A41F94"/>
    <w:rsid w:val="00AA43E3"/>
    <w:rsid w:val="00B048CC"/>
    <w:rsid w:val="00E77E77"/>
    <w:rsid w:val="00F0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4028"/>
  <w15:chartTrackingRefBased/>
  <w15:docId w15:val="{174DF0F7-232B-4593-AF32-D5390C9D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E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E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E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2025-06-13T17:38:00Z</dcterms:created>
  <dcterms:modified xsi:type="dcterms:W3CDTF">2025-06-13T18:14:00Z</dcterms:modified>
</cp:coreProperties>
</file>