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AC71" w14:textId="0817D07E" w:rsidR="00536BBA" w:rsidRDefault="002D768E">
      <w:r>
        <w:t>&gt; Sistematización</w:t>
      </w:r>
      <w:r>
        <w:t>/Organización</w:t>
      </w:r>
      <w:r>
        <w:t>: Con respecto a la organización esta misma va de la mano con la sistematización y ambas son contra el olvido pero es detrimento al tiempo considerando una modalidad manual en solitario. &gt; Sistematización simple en tal caso (al menos, simple en estructura</w:t>
      </w:r>
      <w:r>
        <w:t xml:space="preserve"> hasta la hora de tener una aplicación en IA.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5F"/>
    <w:rsid w:val="001168ED"/>
    <w:rsid w:val="002D768E"/>
    <w:rsid w:val="00536BBA"/>
    <w:rsid w:val="005E305F"/>
    <w:rsid w:val="00845452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F8B77A"/>
  <w15:chartTrackingRefBased/>
  <w15:docId w15:val="{7613F8C5-1973-46A2-9EF6-596540B2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0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0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0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0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0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0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0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0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0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2025-12-05T10:47:00Z</dcterms:created>
  <dcterms:modified xsi:type="dcterms:W3CDTF">2025-12-05T10:47:00Z</dcterms:modified>
</cp:coreProperties>
</file>