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BF93" w14:textId="21767D0D" w:rsidR="00B048CC" w:rsidRDefault="00FE19EA">
      <w:r>
        <w:t>Todo lo mencionado en el ‘desa_e’ se puede aplicar tanto a temas</w:t>
      </w:r>
      <w:r w:rsidR="00966596">
        <w:t>/objetos de estudio, como a áreas de una asignatura o las mismas asignaturas; es por lo tanto algo condicional.</w:t>
      </w:r>
    </w:p>
    <w:sectPr w:rsidR="00B048CC" w:rsidSect="00774C0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3D8"/>
    <w:rsid w:val="00320594"/>
    <w:rsid w:val="00774C06"/>
    <w:rsid w:val="008D63D8"/>
    <w:rsid w:val="00966596"/>
    <w:rsid w:val="00AA43E3"/>
    <w:rsid w:val="00B048CC"/>
    <w:rsid w:val="00FE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88D3"/>
  <w15:chartTrackingRefBased/>
  <w15:docId w15:val="{73C8190F-86D9-4350-BDB7-C16CFDFD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3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3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2025-08-18T16:23:00Z</dcterms:created>
  <dcterms:modified xsi:type="dcterms:W3CDTF">2025-08-18T16:23:00Z</dcterms:modified>
</cp:coreProperties>
</file>