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CDCC" w14:textId="4A5945A1" w:rsidR="00DD6A5B" w:rsidRDefault="003843F9">
      <w:r>
        <w:t>Enfoque general</w:t>
      </w:r>
    </w:p>
    <w:p w14:paraId="36F1A699" w14:textId="4C8FD601" w:rsidR="003843F9" w:rsidRDefault="003843F9">
      <w:r>
        <w:t>1. Incluido en otra cosa sin que esta lo exprese</w:t>
      </w:r>
    </w:p>
    <w:sectPr w:rsidR="003843F9" w:rsidSect="003843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5B"/>
    <w:rsid w:val="001168ED"/>
    <w:rsid w:val="003843F9"/>
    <w:rsid w:val="00DD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AAAB18"/>
  <w15:chartTrackingRefBased/>
  <w15:docId w15:val="{FE61AB86-E3D4-4248-B9D2-86F96055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6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6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6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6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6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6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6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6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6A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6A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6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6A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6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6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6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6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6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6A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6A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6A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6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6A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6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2025-09-11T16:32:00Z</dcterms:created>
  <dcterms:modified xsi:type="dcterms:W3CDTF">2025-09-11T16:33:00Z</dcterms:modified>
</cp:coreProperties>
</file>