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8257" w14:textId="20BC75FB" w:rsidR="00B048CC" w:rsidRDefault="00057B64">
      <w:r>
        <w:t>Enfoque general</w:t>
      </w:r>
    </w:p>
    <w:p w14:paraId="15BA312A" w14:textId="0D752C5C" w:rsidR="00057B64" w:rsidRDefault="00057B64">
      <w:r>
        <w:t>1. Escaso, cicatero, ahorrativo</w:t>
      </w:r>
    </w:p>
    <w:p w14:paraId="47F709A2" w14:textId="52813460" w:rsidR="00057B64" w:rsidRDefault="00057B64">
      <w:r>
        <w:t>2. Lento o flemático</w:t>
      </w:r>
    </w:p>
    <w:sectPr w:rsidR="00057B64" w:rsidSect="00057B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EC0"/>
    <w:rsid w:val="00057B64"/>
    <w:rsid w:val="000F6EC0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D3DC"/>
  <w15:chartTrackingRefBased/>
  <w15:docId w15:val="{60F3276D-B673-4965-8663-0A8547FB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2025-08-29T05:04:00Z</dcterms:created>
  <dcterms:modified xsi:type="dcterms:W3CDTF">2025-08-29T05:05:00Z</dcterms:modified>
</cp:coreProperties>
</file>