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FB95" w14:textId="190A758D" w:rsidR="00433112" w:rsidRDefault="00433112">
      <w:r>
        <w:t>Enfoque de investigación general</w:t>
      </w:r>
    </w:p>
    <w:p w14:paraId="2A4C7102" w14:textId="5C6D9A99" w:rsidR="00433112" w:rsidRDefault="00433112">
      <w:r>
        <w:t>1. Acción y efecto de apreciar (formación de opinión/juicio o hipótesis como elementos de este supuesto conjunto)</w:t>
      </w:r>
    </w:p>
    <w:sectPr w:rsidR="00433112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83"/>
    <w:rsid w:val="001168ED"/>
    <w:rsid w:val="00243183"/>
    <w:rsid w:val="00433112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536E11"/>
  <w15:chartTrackingRefBased/>
  <w15:docId w15:val="{4D48B166-52A0-4DAC-B3E3-28C57FC3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3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3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3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3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3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3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3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3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3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3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3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31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31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31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31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31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31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3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3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3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3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3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31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31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31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3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31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3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2025-09-12T23:05:00Z</dcterms:created>
  <dcterms:modified xsi:type="dcterms:W3CDTF">2025-09-12T23:07:00Z</dcterms:modified>
</cp:coreProperties>
</file>