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7AC6" w14:textId="1B3F6FA7" w:rsidR="0078688C" w:rsidRDefault="000475AD">
      <w:r>
        <w:t>Enfoque general</w:t>
      </w:r>
    </w:p>
    <w:p w14:paraId="204306A7" w14:textId="0C240638" w:rsidR="000475AD" w:rsidRDefault="000475AD">
      <w:r>
        <w:t>1. Disposición de las partes que componen una cosa y le dan su forma y sus propiedades (Ejemplo: La configuración de las calles de una ciudad -&gt; Ciudad netamente funcional *con su forma y propiedades*)</w:t>
      </w:r>
    </w:p>
    <w:sectPr w:rsidR="000475AD" w:rsidSect="000475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8C"/>
    <w:rsid w:val="000475AD"/>
    <w:rsid w:val="0078688C"/>
    <w:rsid w:val="0094420D"/>
    <w:rsid w:val="00A3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30AD8"/>
  <w15:chartTrackingRefBased/>
  <w15:docId w15:val="{38A1F233-D477-4A8A-A184-F6EB48C6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8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8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8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2025-09-10T22:46:00Z</dcterms:created>
  <dcterms:modified xsi:type="dcterms:W3CDTF">2025-09-10T22:47:00Z</dcterms:modified>
</cp:coreProperties>
</file>