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9356" w14:textId="52B95518" w:rsidR="00B048CC" w:rsidRDefault="0074657C">
      <w:r>
        <w:t>Enfoque científico/general</w:t>
      </w:r>
    </w:p>
    <w:p w14:paraId="165E934A" w14:textId="0D433D8B" w:rsidR="0074657C" w:rsidRDefault="0074657C">
      <w:r>
        <w:t>1. Cotejar y comparar una cosa con otra</w:t>
      </w:r>
    </w:p>
    <w:sectPr w:rsidR="0074657C" w:rsidSect="007465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AE1"/>
    <w:rsid w:val="0074657C"/>
    <w:rsid w:val="00AA43E3"/>
    <w:rsid w:val="00AF0AE1"/>
    <w:rsid w:val="00B048C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BB3F"/>
  <w15:chartTrackingRefBased/>
  <w15:docId w15:val="{DC9EF5FE-8A9F-4DE4-9F14-2FAC85B8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2025-08-22T21:03:00Z</dcterms:created>
  <dcterms:modified xsi:type="dcterms:W3CDTF">2025-08-22T21:04:00Z</dcterms:modified>
</cp:coreProperties>
</file>