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ACAC" w14:textId="2FC838B5" w:rsidR="00986C0D" w:rsidRDefault="00157051">
      <w:r>
        <w:t>Enfoque general</w:t>
      </w:r>
    </w:p>
    <w:p w14:paraId="0106559E" w14:textId="4FFD2712" w:rsidR="00157051" w:rsidRDefault="00157051">
      <w:r>
        <w:t>1. Acción y efecto de disponer (se diferencia de ‘clasificación’ porque es más de conveniencia o situacional)</w:t>
      </w:r>
    </w:p>
    <w:p w14:paraId="067F4263" w14:textId="4075C293" w:rsidR="00157051" w:rsidRDefault="00157051">
      <w:r>
        <w:t>2. Aptitud (adecuación para algún fin)</w:t>
      </w:r>
    </w:p>
    <w:sectPr w:rsidR="00157051" w:rsidSect="001570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0D"/>
    <w:rsid w:val="00157051"/>
    <w:rsid w:val="006B38E5"/>
    <w:rsid w:val="0098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C7501"/>
  <w15:chartTrackingRefBased/>
  <w15:docId w15:val="{18D89A35-0CEB-4F9E-9177-EF7E8E8D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2025-09-07T23:38:00Z</dcterms:created>
  <dcterms:modified xsi:type="dcterms:W3CDTF">2025-09-07T23:40:00Z</dcterms:modified>
</cp:coreProperties>
</file>