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16DF6" w14:textId="006FD741" w:rsidR="00D45A5E" w:rsidRDefault="00C412EE">
      <w:r>
        <w:t>Enfoque científico general</w:t>
      </w:r>
    </w:p>
    <w:p w14:paraId="1BE6A4BE" w14:textId="79AF5771" w:rsidR="00C412EE" w:rsidRDefault="00C412EE">
      <w:r>
        <w:t>1. Como punto de vista particular o perspectiva de un tema</w:t>
      </w:r>
    </w:p>
    <w:sectPr w:rsidR="00C412EE" w:rsidSect="00C412E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A5E"/>
    <w:rsid w:val="006B38E5"/>
    <w:rsid w:val="00C412EE"/>
    <w:rsid w:val="00D45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4F7A78"/>
  <w15:chartTrackingRefBased/>
  <w15:docId w15:val="{F9192E48-E30C-4222-B049-B301FDFDD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5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5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5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5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5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5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5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5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5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5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5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5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5A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5A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5A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5A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5A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5A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5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5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5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5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5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5A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5A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5A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5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5A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5A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73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2025-09-05T23:37:00Z</dcterms:created>
  <dcterms:modified xsi:type="dcterms:W3CDTF">2025-09-05T23:38:00Z</dcterms:modified>
</cp:coreProperties>
</file>