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33F8" w14:textId="6E8B1999" w:rsidR="00B048CC" w:rsidRDefault="00516299">
      <w:r>
        <w:t>Enfoque científico/general</w:t>
      </w:r>
    </w:p>
    <w:p w14:paraId="6C31F775" w14:textId="309AC28A" w:rsidR="00516299" w:rsidRDefault="00516299">
      <w:r>
        <w:t>Hipótesis científica o también, ‘scientific hypothesis’ en inglés. Son proposiciones aceptables formuladas a través de la recolección de información y datos, aunque no esté confirmada, sirve para responder de forma alternativa y con base científica a un problema. También solamente como hipótesis pero siendo la solución a un problema &gt; provee un resultado sugerido basado en la evidencia.</w:t>
      </w:r>
    </w:p>
    <w:sectPr w:rsidR="00516299" w:rsidSect="005162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DF3"/>
    <w:rsid w:val="00516299"/>
    <w:rsid w:val="00A722D0"/>
    <w:rsid w:val="00AA43E3"/>
    <w:rsid w:val="00B048CC"/>
    <w:rsid w:val="00C2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EA32"/>
  <w15:chartTrackingRefBased/>
  <w15:docId w15:val="{4D538023-56A4-4B1A-BA71-5EA20BFC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D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D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D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2025-08-29T04:29:00Z</dcterms:created>
  <dcterms:modified xsi:type="dcterms:W3CDTF">2025-08-29T04:38:00Z</dcterms:modified>
</cp:coreProperties>
</file>