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1B81" w14:textId="0B36854A" w:rsidR="00F00D28" w:rsidRDefault="003F59A3">
      <w:r>
        <w:t>Enfoque general</w:t>
      </w:r>
    </w:p>
    <w:p w14:paraId="4272B8D6" w14:textId="543BBB36" w:rsidR="003F59A3" w:rsidRDefault="003F59A3">
      <w:r>
        <w:t>1. Acción y efecto de interpretar</w:t>
      </w:r>
    </w:p>
    <w:p w14:paraId="50ED1DB9" w14:textId="77777777" w:rsidR="003F59A3" w:rsidRDefault="003F59A3"/>
    <w:sectPr w:rsidR="003F59A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28"/>
    <w:rsid w:val="001168ED"/>
    <w:rsid w:val="003F59A3"/>
    <w:rsid w:val="009033D7"/>
    <w:rsid w:val="00F0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53C8F8"/>
  <w15:chartTrackingRefBased/>
  <w15:docId w15:val="{6F39404A-1EC2-4E35-B37E-89FABF2E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D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D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D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D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D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D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D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D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2025-09-12T02:04:00Z</dcterms:created>
  <dcterms:modified xsi:type="dcterms:W3CDTF">2025-09-12T02:05:00Z</dcterms:modified>
</cp:coreProperties>
</file>