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1FA8" w14:textId="5D5E3522" w:rsidR="00B048CC" w:rsidRDefault="00C06DDD">
      <w:r>
        <w:t>Enfoque filosófico</w:t>
      </w:r>
    </w:p>
    <w:p w14:paraId="217CDB61" w14:textId="5D780622" w:rsidR="00C06DDD" w:rsidRDefault="00C06DDD">
      <w:r>
        <w:t>1. Partidario del empirismo</w:t>
      </w:r>
    </w:p>
    <w:sectPr w:rsidR="00C06DDD" w:rsidSect="00C06D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C53"/>
    <w:rsid w:val="00A722D0"/>
    <w:rsid w:val="00AA43E3"/>
    <w:rsid w:val="00B048CC"/>
    <w:rsid w:val="00C06DDD"/>
    <w:rsid w:val="00FD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98BD"/>
  <w15:chartTrackingRefBased/>
  <w15:docId w15:val="{ADF43FAE-6737-47CC-A115-05FDE30B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2025-08-29T06:29:00Z</dcterms:created>
  <dcterms:modified xsi:type="dcterms:W3CDTF">2025-08-29T06:30:00Z</dcterms:modified>
</cp:coreProperties>
</file>